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F2ABD9" w14:textId="77777777" w:rsidR="00A938CC" w:rsidRPr="00A938CC" w:rsidRDefault="00A938CC" w:rsidP="00A938CC">
      <w:pPr>
        <w:widowControl w:val="0"/>
        <w:spacing w:line="320" w:lineRule="exact"/>
        <w:jc w:val="center"/>
        <w:rPr>
          <w:rFonts w:ascii="Verdana" w:hAnsi="Verdana" w:cs="Verdana"/>
          <w:b/>
          <w:bCs/>
          <w:sz w:val="20"/>
          <w:szCs w:val="20"/>
        </w:rPr>
      </w:pPr>
      <w:r w:rsidRPr="00A938CC">
        <w:rPr>
          <w:rFonts w:ascii="Verdana" w:hAnsi="Verdana" w:cs="Verdana"/>
          <w:b/>
          <w:bCs/>
          <w:sz w:val="20"/>
          <w:szCs w:val="20"/>
        </w:rPr>
        <w:t>SCHEMA DI CONVENZIONE PER LO SVOLGIMENTO</w:t>
      </w:r>
    </w:p>
    <w:p w14:paraId="27B79E91" w14:textId="77777777" w:rsidR="00A938CC" w:rsidRPr="00A938CC" w:rsidRDefault="00A938CC" w:rsidP="00A938CC">
      <w:pPr>
        <w:widowControl w:val="0"/>
        <w:spacing w:line="320" w:lineRule="exact"/>
        <w:jc w:val="center"/>
        <w:rPr>
          <w:rFonts w:ascii="Verdana" w:hAnsi="Verdana" w:cs="Verdana"/>
          <w:b/>
          <w:bCs/>
          <w:sz w:val="20"/>
          <w:szCs w:val="20"/>
        </w:rPr>
      </w:pPr>
      <w:r w:rsidRPr="00A938CC">
        <w:rPr>
          <w:rFonts w:ascii="Verdana" w:hAnsi="Verdana" w:cs="Verdana"/>
          <w:b/>
          <w:bCs/>
          <w:sz w:val="20"/>
          <w:szCs w:val="20"/>
        </w:rPr>
        <w:t>DEL SERVIZIO DI TESORERIA</w:t>
      </w:r>
    </w:p>
    <w:p w14:paraId="4A4AE888" w14:textId="77777777" w:rsidR="00A938CC" w:rsidRPr="00A938CC" w:rsidRDefault="00A938CC" w:rsidP="00A938CC">
      <w:pPr>
        <w:widowControl w:val="0"/>
        <w:spacing w:line="320" w:lineRule="exact"/>
        <w:jc w:val="center"/>
        <w:rPr>
          <w:rFonts w:ascii="Verdana" w:hAnsi="Verdana" w:cs="Verdana"/>
          <w:b/>
          <w:bCs/>
          <w:sz w:val="20"/>
          <w:szCs w:val="20"/>
        </w:rPr>
      </w:pPr>
      <w:r w:rsidRPr="00A938CC">
        <w:rPr>
          <w:rFonts w:ascii="Verdana" w:hAnsi="Verdana" w:cs="Verdana"/>
          <w:b/>
          <w:bCs/>
          <w:sz w:val="20"/>
          <w:szCs w:val="20"/>
        </w:rPr>
        <w:t>TRA</w:t>
      </w:r>
    </w:p>
    <w:p w14:paraId="3953D407" w14:textId="77777777" w:rsidR="00A938CC" w:rsidRDefault="00A938CC" w:rsidP="00A938CC">
      <w:pPr>
        <w:widowControl w:val="0"/>
        <w:jc w:val="both"/>
        <w:rPr>
          <w:rFonts w:ascii="Verdana" w:hAnsi="Verdana" w:cs="Verdana"/>
          <w:b/>
          <w:bCs/>
        </w:rPr>
      </w:pPr>
    </w:p>
    <w:p w14:paraId="709C0F83" w14:textId="0C0627BC" w:rsidR="00A938CC" w:rsidRDefault="00A938CC" w:rsidP="00A938CC">
      <w:pPr>
        <w:widowControl w:val="0"/>
        <w:spacing w:line="276" w:lineRule="auto"/>
        <w:jc w:val="both"/>
        <w:rPr>
          <w:rFonts w:ascii="Verdana" w:hAnsi="Verdana" w:cs="Verdana"/>
          <w:sz w:val="20"/>
          <w:szCs w:val="20"/>
        </w:rPr>
      </w:pPr>
      <w:r>
        <w:rPr>
          <w:rFonts w:ascii="Verdana" w:hAnsi="Verdana" w:cs="Verdana"/>
          <w:sz w:val="20"/>
          <w:szCs w:val="20"/>
        </w:rPr>
        <w:t xml:space="preserve">La società Azienda Multiservizi Comunali AMSC </w:t>
      </w:r>
      <w:proofErr w:type="spellStart"/>
      <w:r>
        <w:rPr>
          <w:rFonts w:ascii="Verdana" w:hAnsi="Verdana" w:cs="Verdana"/>
          <w:sz w:val="20"/>
          <w:szCs w:val="20"/>
        </w:rPr>
        <w:t>SpA</w:t>
      </w:r>
      <w:proofErr w:type="spellEnd"/>
      <w:r>
        <w:rPr>
          <w:rFonts w:ascii="Verdana" w:hAnsi="Verdana" w:cs="Verdana"/>
          <w:sz w:val="20"/>
          <w:szCs w:val="20"/>
        </w:rPr>
        <w:t>, di seguito denominato “ENTE”, codice fiscale n. 02279540120 rappresentata dal Dott. Roberto Campari, nato a Busto Arsizio il 0405.1969, in qualità di Amministratore Unico, munito degli occorrenti poteri per la stipula della presente convenzione,</w:t>
      </w:r>
    </w:p>
    <w:p w14:paraId="1E9817BD" w14:textId="632F19AE" w:rsidR="00A938CC" w:rsidRPr="00A938CC" w:rsidRDefault="00A938CC" w:rsidP="00A938CC">
      <w:pPr>
        <w:widowControl w:val="0"/>
        <w:spacing w:line="276" w:lineRule="auto"/>
        <w:jc w:val="center"/>
        <w:rPr>
          <w:rFonts w:ascii="Verdana" w:hAnsi="Verdana" w:cs="Verdana"/>
          <w:b/>
          <w:sz w:val="20"/>
          <w:szCs w:val="20"/>
        </w:rPr>
      </w:pPr>
      <w:r w:rsidRPr="00A938CC">
        <w:rPr>
          <w:rFonts w:ascii="Verdana" w:hAnsi="Verdana" w:cs="Verdana"/>
          <w:b/>
          <w:sz w:val="20"/>
          <w:szCs w:val="20"/>
        </w:rPr>
        <w:t>E</w:t>
      </w:r>
    </w:p>
    <w:p w14:paraId="1BE458B2" w14:textId="77777777" w:rsidR="00A938CC" w:rsidRPr="00A938CC" w:rsidRDefault="00A938CC" w:rsidP="00A938CC">
      <w:pPr>
        <w:widowControl w:val="0"/>
        <w:spacing w:line="276" w:lineRule="auto"/>
        <w:jc w:val="center"/>
        <w:rPr>
          <w:rFonts w:ascii="Verdana" w:hAnsi="Verdana" w:cs="Verdana"/>
          <w:b/>
        </w:rPr>
      </w:pPr>
    </w:p>
    <w:p w14:paraId="4BD379F0" w14:textId="77777777" w:rsidR="00A938CC" w:rsidRDefault="00A938CC" w:rsidP="00A938CC">
      <w:pPr>
        <w:widowControl w:val="0"/>
        <w:spacing w:line="276" w:lineRule="auto"/>
        <w:jc w:val="both"/>
        <w:rPr>
          <w:rFonts w:ascii="Verdana" w:hAnsi="Verdana" w:cs="Verdana"/>
          <w:sz w:val="20"/>
          <w:szCs w:val="20"/>
        </w:rPr>
      </w:pPr>
      <w:r>
        <w:rPr>
          <w:rFonts w:ascii="Verdana" w:hAnsi="Verdana" w:cs="Verdana"/>
          <w:sz w:val="20"/>
          <w:szCs w:val="20"/>
        </w:rPr>
        <w:t xml:space="preserve">L’Istituto Bancario/Società per azioni, di seguito denominato “Tesoriere”, con sede in ________________, alla Via ___________________, n°_____ </w:t>
      </w:r>
      <w:proofErr w:type="gramStart"/>
      <w:r>
        <w:rPr>
          <w:rFonts w:ascii="Verdana" w:hAnsi="Verdana" w:cs="Verdana"/>
          <w:sz w:val="20"/>
          <w:szCs w:val="20"/>
        </w:rPr>
        <w:t>CF._</w:t>
      </w:r>
      <w:proofErr w:type="gramEnd"/>
      <w:r>
        <w:rPr>
          <w:rFonts w:ascii="Verdana" w:hAnsi="Verdana" w:cs="Verdana"/>
          <w:sz w:val="20"/>
          <w:szCs w:val="20"/>
        </w:rPr>
        <w:t>____________________,</w:t>
      </w:r>
    </w:p>
    <w:p w14:paraId="2AAA922A" w14:textId="2D9EAC3E" w:rsidR="00A938CC" w:rsidRPr="00A938CC" w:rsidRDefault="00A938CC" w:rsidP="00A938CC">
      <w:pPr>
        <w:widowControl w:val="0"/>
        <w:spacing w:line="276" w:lineRule="auto"/>
        <w:jc w:val="both"/>
        <w:rPr>
          <w:rFonts w:ascii="Verdana" w:hAnsi="Verdana" w:cs="Verdana"/>
          <w:sz w:val="20"/>
          <w:szCs w:val="20"/>
        </w:rPr>
      </w:pPr>
      <w:proofErr w:type="gramStart"/>
      <w:r>
        <w:rPr>
          <w:rFonts w:ascii="Verdana" w:hAnsi="Verdana" w:cs="Verdana"/>
          <w:sz w:val="20"/>
          <w:szCs w:val="20"/>
        </w:rPr>
        <w:t>rappresentato</w:t>
      </w:r>
      <w:proofErr w:type="gramEnd"/>
      <w:r>
        <w:rPr>
          <w:rFonts w:ascii="Verdana" w:hAnsi="Verdana" w:cs="Verdana"/>
          <w:sz w:val="20"/>
          <w:szCs w:val="20"/>
        </w:rPr>
        <w:t xml:space="preserve"> da ______________________, nato a _______________ il _____________ nella qualità di ________________, domiciliato per la carica presso_______________</w:t>
      </w:r>
    </w:p>
    <w:p w14:paraId="3B429593" w14:textId="77777777" w:rsidR="00A938CC" w:rsidRDefault="00A938CC" w:rsidP="00A938CC">
      <w:pPr>
        <w:widowControl w:val="0"/>
        <w:spacing w:line="276" w:lineRule="auto"/>
        <w:jc w:val="both"/>
        <w:rPr>
          <w:rFonts w:ascii="Verdana" w:hAnsi="Verdana" w:cs="Verdana"/>
          <w:sz w:val="20"/>
          <w:szCs w:val="20"/>
        </w:rPr>
      </w:pPr>
    </w:p>
    <w:p w14:paraId="23D22869" w14:textId="0470F415" w:rsidR="00A938CC" w:rsidRPr="00A938CC" w:rsidRDefault="00A938CC" w:rsidP="00A938CC">
      <w:pPr>
        <w:widowControl w:val="0"/>
        <w:spacing w:line="276" w:lineRule="auto"/>
        <w:jc w:val="both"/>
        <w:rPr>
          <w:rFonts w:ascii="Verdana" w:hAnsi="Verdana" w:cs="Verdana"/>
          <w:sz w:val="20"/>
          <w:szCs w:val="20"/>
        </w:rPr>
      </w:pPr>
      <w:r>
        <w:rPr>
          <w:rFonts w:ascii="Verdana" w:hAnsi="Verdana" w:cs="Verdana"/>
          <w:sz w:val="20"/>
          <w:szCs w:val="20"/>
        </w:rPr>
        <w:t>Si conviene e si stipula quanto segue:</w:t>
      </w:r>
    </w:p>
    <w:p w14:paraId="50651897" w14:textId="77777777" w:rsidR="00A938CC" w:rsidRDefault="00A938CC" w:rsidP="00A938CC">
      <w:pPr>
        <w:widowControl w:val="0"/>
        <w:spacing w:before="120" w:line="276" w:lineRule="auto"/>
        <w:jc w:val="both"/>
        <w:rPr>
          <w:rFonts w:ascii="Verdana" w:hAnsi="Verdana" w:cs="Verdana"/>
          <w:b/>
          <w:bCs/>
          <w:sz w:val="20"/>
          <w:szCs w:val="20"/>
        </w:rPr>
      </w:pPr>
      <w:r>
        <w:rPr>
          <w:rFonts w:ascii="Verdana" w:hAnsi="Verdana" w:cs="Verdana"/>
          <w:b/>
          <w:bCs/>
          <w:sz w:val="20"/>
          <w:szCs w:val="20"/>
        </w:rPr>
        <w:t>ART.1 AFFIDAMENTO DEL SERVIZIO</w:t>
      </w:r>
    </w:p>
    <w:p w14:paraId="516D2788" w14:textId="77777777" w:rsidR="00A938CC" w:rsidRDefault="00A938CC" w:rsidP="00A938CC">
      <w:pPr>
        <w:widowControl w:val="0"/>
        <w:spacing w:before="120" w:line="276" w:lineRule="auto"/>
        <w:jc w:val="both"/>
        <w:rPr>
          <w:rFonts w:ascii="Verdana" w:hAnsi="Verdana" w:cs="Verdana"/>
          <w:sz w:val="20"/>
          <w:szCs w:val="20"/>
        </w:rPr>
      </w:pPr>
      <w:r>
        <w:rPr>
          <w:rFonts w:ascii="Verdana" w:hAnsi="Verdana" w:cs="Verdana"/>
          <w:sz w:val="20"/>
          <w:szCs w:val="20"/>
        </w:rPr>
        <w:t>1. Il presente contratto ha ad oggetto l’affidamento del servizio di tesoreria e dei servizi connessi, da parte dell’Ente, in favore della Società ……, con sede in</w:t>
      </w:r>
      <w:proofErr w:type="gramStart"/>
      <w:r>
        <w:rPr>
          <w:rFonts w:ascii="Verdana" w:hAnsi="Verdana" w:cs="Verdana"/>
          <w:sz w:val="20"/>
          <w:szCs w:val="20"/>
        </w:rPr>
        <w:t xml:space="preserve"> ….</w:t>
      </w:r>
      <w:proofErr w:type="gramEnd"/>
      <w:r>
        <w:rPr>
          <w:rFonts w:ascii="Verdana" w:hAnsi="Verdana" w:cs="Verdana"/>
          <w:sz w:val="20"/>
          <w:szCs w:val="20"/>
        </w:rPr>
        <w:t>, alla Via ____________________________ n. ________.</w:t>
      </w:r>
    </w:p>
    <w:p w14:paraId="63925B9B" w14:textId="77777777" w:rsidR="00A938CC" w:rsidRDefault="00A938CC" w:rsidP="00A938CC">
      <w:pPr>
        <w:widowControl w:val="0"/>
        <w:spacing w:before="120" w:line="276" w:lineRule="auto"/>
        <w:jc w:val="both"/>
        <w:rPr>
          <w:rFonts w:ascii="Verdana" w:hAnsi="Verdana" w:cs="Verdana"/>
          <w:sz w:val="20"/>
          <w:szCs w:val="20"/>
        </w:rPr>
      </w:pPr>
      <w:r>
        <w:rPr>
          <w:rFonts w:ascii="Verdana" w:hAnsi="Verdana" w:cs="Verdana"/>
          <w:sz w:val="20"/>
          <w:szCs w:val="20"/>
        </w:rPr>
        <w:t xml:space="preserve">2. Il servizio di tesoreria viene svolto dal Tesoriere presso la sede ubicata nel territorio comunale, dal lunedì al venerdì, nel rispetto del vigente orario di apertura degli sportelli bancari, facendo impiego di personale in possesso di adeguata professionalità per l’espletamento di tale servizio ed in numero idoneo a soddisfare gli utenti e l’Ente. </w:t>
      </w:r>
    </w:p>
    <w:p w14:paraId="00D122ED" w14:textId="77777777" w:rsidR="00A938CC" w:rsidRDefault="00A938CC" w:rsidP="00A938CC">
      <w:pPr>
        <w:widowControl w:val="0"/>
        <w:spacing w:before="120" w:line="276" w:lineRule="auto"/>
        <w:jc w:val="both"/>
        <w:rPr>
          <w:rFonts w:ascii="Verdana" w:hAnsi="Verdana" w:cs="Verdana"/>
          <w:sz w:val="20"/>
          <w:szCs w:val="20"/>
        </w:rPr>
      </w:pPr>
      <w:r>
        <w:rPr>
          <w:rFonts w:ascii="Verdana" w:hAnsi="Verdana" w:cs="Verdana"/>
          <w:sz w:val="20"/>
          <w:szCs w:val="20"/>
        </w:rPr>
        <w:t xml:space="preserve">Il servizio viene gestito dal Tesoriere mediante uno sportello operativo nel territorio del Comune di Gallarate o di un Comune contermine. </w:t>
      </w:r>
    </w:p>
    <w:p w14:paraId="72359ADD" w14:textId="77777777" w:rsidR="00A938CC" w:rsidRDefault="00A938CC" w:rsidP="00A938CC">
      <w:pPr>
        <w:widowControl w:val="0"/>
        <w:spacing w:before="120" w:line="276" w:lineRule="auto"/>
        <w:jc w:val="both"/>
        <w:rPr>
          <w:rFonts w:ascii="Verdana" w:hAnsi="Verdana" w:cs="Verdana"/>
          <w:sz w:val="20"/>
          <w:szCs w:val="20"/>
        </w:rPr>
      </w:pPr>
      <w:r>
        <w:rPr>
          <w:rFonts w:ascii="Verdana" w:hAnsi="Verdana" w:cs="Verdana"/>
          <w:sz w:val="20"/>
          <w:szCs w:val="20"/>
        </w:rPr>
        <w:t>Il Tesoriere si impegna a mantenere almeno uno sportello operativo nel territorio del Comune di Gallarate o di un Comune contermine per tutta la durata della presente convenzione e, comunque, per il tutto il periodo di erogazione del servizio.</w:t>
      </w:r>
    </w:p>
    <w:p w14:paraId="0D82F60B" w14:textId="77777777" w:rsidR="00A938CC" w:rsidRDefault="00A938CC" w:rsidP="00A938CC">
      <w:pPr>
        <w:widowControl w:val="0"/>
        <w:spacing w:before="120" w:line="276" w:lineRule="auto"/>
        <w:jc w:val="both"/>
        <w:rPr>
          <w:rFonts w:ascii="Verdana" w:hAnsi="Verdana" w:cs="Verdana"/>
          <w:sz w:val="20"/>
          <w:szCs w:val="20"/>
        </w:rPr>
      </w:pPr>
      <w:r>
        <w:rPr>
          <w:rFonts w:ascii="Verdana" w:hAnsi="Verdana" w:cs="Verdana"/>
          <w:sz w:val="20"/>
          <w:szCs w:val="20"/>
        </w:rPr>
        <w:t>3. Il servizio di tesoreria, la cui durata è fissata dal successivo art. 14 viene svolto in conformità alla legge, agli statuti ed ai regolamenti dell’Ente nonché ai patti di cui alla presente convenzione che il Tesoriere dichiara di ben conoscere e di accettare.</w:t>
      </w:r>
    </w:p>
    <w:p w14:paraId="65CE70B2" w14:textId="77777777" w:rsidR="00A938CC" w:rsidRDefault="00A938CC" w:rsidP="00A938CC">
      <w:pPr>
        <w:widowControl w:val="0"/>
        <w:spacing w:before="120" w:line="276" w:lineRule="auto"/>
        <w:jc w:val="both"/>
        <w:rPr>
          <w:rFonts w:ascii="Verdana" w:hAnsi="Verdana" w:cs="Verdana"/>
          <w:b/>
          <w:bCs/>
          <w:sz w:val="20"/>
          <w:szCs w:val="20"/>
        </w:rPr>
      </w:pPr>
      <w:r>
        <w:rPr>
          <w:rFonts w:ascii="Verdana" w:hAnsi="Verdana" w:cs="Verdana"/>
          <w:b/>
          <w:bCs/>
          <w:sz w:val="20"/>
          <w:szCs w:val="20"/>
        </w:rPr>
        <w:t>ART. 2 OGGETTO E LIMITI DEL SERVIZIO. CORRISPETTIVO.</w:t>
      </w:r>
    </w:p>
    <w:p w14:paraId="3BC651C7" w14:textId="77777777" w:rsidR="00A938CC" w:rsidRDefault="00A938CC" w:rsidP="00A938CC">
      <w:pPr>
        <w:widowControl w:val="0"/>
        <w:spacing w:before="120" w:line="276" w:lineRule="auto"/>
        <w:jc w:val="both"/>
        <w:rPr>
          <w:rFonts w:ascii="Verdana" w:hAnsi="Verdana" w:cs="Verdana"/>
          <w:sz w:val="20"/>
          <w:szCs w:val="20"/>
        </w:rPr>
      </w:pPr>
      <w:r>
        <w:rPr>
          <w:rFonts w:ascii="Verdana" w:hAnsi="Verdana" w:cs="Verdana"/>
          <w:sz w:val="20"/>
          <w:szCs w:val="20"/>
        </w:rPr>
        <w:t>1. Il servizio oggetto della presente convenzione comprende il complesso delle operazioni inerenti la gestione finanziaria e contabile dell’Ente ed in particolare:</w:t>
      </w:r>
    </w:p>
    <w:p w14:paraId="423C1576" w14:textId="77777777" w:rsidR="00A938CC" w:rsidRDefault="00A938CC" w:rsidP="00A938CC">
      <w:pPr>
        <w:widowControl w:val="0"/>
        <w:spacing w:before="120" w:line="276" w:lineRule="auto"/>
        <w:jc w:val="both"/>
        <w:rPr>
          <w:rFonts w:ascii="Verdana" w:hAnsi="Verdana" w:cs="Verdana"/>
          <w:sz w:val="20"/>
          <w:szCs w:val="20"/>
        </w:rPr>
      </w:pPr>
      <w:r>
        <w:rPr>
          <w:rFonts w:ascii="Verdana" w:hAnsi="Verdana" w:cs="Verdana"/>
          <w:sz w:val="20"/>
          <w:szCs w:val="20"/>
        </w:rPr>
        <w:t>a) gestione della tesoreria:</w:t>
      </w:r>
    </w:p>
    <w:p w14:paraId="1610255D" w14:textId="77777777" w:rsidR="00A938CC" w:rsidRDefault="00A938CC" w:rsidP="00A938CC">
      <w:pPr>
        <w:widowControl w:val="0"/>
        <w:numPr>
          <w:ilvl w:val="0"/>
          <w:numId w:val="37"/>
        </w:numPr>
        <w:spacing w:before="120" w:line="276" w:lineRule="auto"/>
        <w:ind w:left="360" w:hanging="180"/>
        <w:jc w:val="both"/>
        <w:rPr>
          <w:rFonts w:ascii="Verdana" w:hAnsi="Verdana" w:cs="Verdana"/>
          <w:sz w:val="20"/>
          <w:szCs w:val="20"/>
        </w:rPr>
      </w:pPr>
      <w:proofErr w:type="gramStart"/>
      <w:r>
        <w:rPr>
          <w:rFonts w:ascii="Verdana" w:hAnsi="Verdana" w:cs="Verdana"/>
          <w:sz w:val="20"/>
          <w:szCs w:val="20"/>
        </w:rPr>
        <w:t>istituzione</w:t>
      </w:r>
      <w:proofErr w:type="gramEnd"/>
      <w:r>
        <w:rPr>
          <w:rFonts w:ascii="Verdana" w:hAnsi="Verdana" w:cs="Verdana"/>
          <w:sz w:val="20"/>
          <w:szCs w:val="20"/>
        </w:rPr>
        <w:t xml:space="preserve"> e gestione di uno o più rapporti di conto corrente, di corrispondenza e di conti deposito per titoli e valori;</w:t>
      </w:r>
    </w:p>
    <w:p w14:paraId="04761DEE" w14:textId="77777777" w:rsidR="00A938CC" w:rsidRDefault="00A938CC" w:rsidP="00A938CC">
      <w:pPr>
        <w:widowControl w:val="0"/>
        <w:numPr>
          <w:ilvl w:val="0"/>
          <w:numId w:val="37"/>
        </w:numPr>
        <w:spacing w:before="120" w:line="276" w:lineRule="auto"/>
        <w:ind w:left="360" w:hanging="180"/>
        <w:jc w:val="both"/>
        <w:rPr>
          <w:rFonts w:ascii="Verdana" w:hAnsi="Verdana" w:cs="Verdana"/>
          <w:sz w:val="20"/>
          <w:szCs w:val="20"/>
        </w:rPr>
      </w:pPr>
      <w:proofErr w:type="gramStart"/>
      <w:r>
        <w:rPr>
          <w:rFonts w:ascii="Verdana" w:hAnsi="Verdana" w:cs="Verdana"/>
          <w:sz w:val="20"/>
          <w:szCs w:val="20"/>
        </w:rPr>
        <w:t>remote</w:t>
      </w:r>
      <w:proofErr w:type="gramEnd"/>
      <w:r>
        <w:rPr>
          <w:rFonts w:ascii="Verdana" w:hAnsi="Verdana" w:cs="Verdana"/>
          <w:sz w:val="20"/>
          <w:szCs w:val="20"/>
        </w:rPr>
        <w:t xml:space="preserve"> (internet) banking;</w:t>
      </w:r>
    </w:p>
    <w:p w14:paraId="076FBB26" w14:textId="77777777" w:rsidR="00A938CC" w:rsidRDefault="00A938CC" w:rsidP="00A938CC">
      <w:pPr>
        <w:widowControl w:val="0"/>
        <w:spacing w:before="120" w:line="276" w:lineRule="auto"/>
        <w:jc w:val="both"/>
        <w:rPr>
          <w:rFonts w:ascii="Verdana" w:hAnsi="Verdana" w:cs="Verdana"/>
          <w:sz w:val="20"/>
          <w:szCs w:val="20"/>
        </w:rPr>
      </w:pPr>
    </w:p>
    <w:p w14:paraId="646B53FB" w14:textId="77777777" w:rsidR="00A938CC" w:rsidRDefault="00A938CC" w:rsidP="00A938CC">
      <w:pPr>
        <w:widowControl w:val="0"/>
        <w:spacing w:before="120" w:line="276" w:lineRule="auto"/>
        <w:jc w:val="both"/>
        <w:rPr>
          <w:rFonts w:ascii="Verdana" w:hAnsi="Verdana" w:cs="Verdana"/>
          <w:sz w:val="20"/>
          <w:szCs w:val="20"/>
        </w:rPr>
      </w:pPr>
    </w:p>
    <w:p w14:paraId="4266EF54" w14:textId="77777777" w:rsidR="00A938CC" w:rsidRDefault="00A938CC" w:rsidP="00A938CC">
      <w:pPr>
        <w:widowControl w:val="0"/>
        <w:numPr>
          <w:ilvl w:val="0"/>
          <w:numId w:val="37"/>
        </w:numPr>
        <w:spacing w:before="120" w:line="276" w:lineRule="auto"/>
        <w:ind w:left="360" w:hanging="180"/>
        <w:jc w:val="both"/>
        <w:rPr>
          <w:rFonts w:ascii="Verdana" w:hAnsi="Verdana" w:cs="Verdana"/>
          <w:sz w:val="20"/>
          <w:szCs w:val="20"/>
        </w:rPr>
      </w:pPr>
      <w:proofErr w:type="gramStart"/>
      <w:r>
        <w:rPr>
          <w:rFonts w:ascii="Verdana" w:hAnsi="Verdana" w:cs="Verdana"/>
          <w:sz w:val="20"/>
          <w:szCs w:val="20"/>
        </w:rPr>
        <w:lastRenderedPageBreak/>
        <w:t>gestione</w:t>
      </w:r>
      <w:proofErr w:type="gramEnd"/>
      <w:r>
        <w:rPr>
          <w:rFonts w:ascii="Verdana" w:hAnsi="Verdana" w:cs="Verdana"/>
          <w:sz w:val="20"/>
          <w:szCs w:val="20"/>
        </w:rPr>
        <w:t xml:space="preserve"> delle procedure informatiche telematiche (informative e dispositive) per l’emissione di mandati di pagamento ed ordinativi di incasso;</w:t>
      </w:r>
    </w:p>
    <w:p w14:paraId="01F84861" w14:textId="77777777" w:rsidR="00A938CC" w:rsidRDefault="00A938CC" w:rsidP="00A938CC">
      <w:pPr>
        <w:widowControl w:val="0"/>
        <w:numPr>
          <w:ilvl w:val="0"/>
          <w:numId w:val="37"/>
        </w:numPr>
        <w:spacing w:before="120" w:line="276" w:lineRule="auto"/>
        <w:ind w:left="360" w:hanging="180"/>
        <w:jc w:val="both"/>
        <w:rPr>
          <w:rFonts w:ascii="Verdana" w:hAnsi="Verdana" w:cs="Verdana"/>
          <w:sz w:val="20"/>
          <w:szCs w:val="20"/>
        </w:rPr>
      </w:pPr>
      <w:proofErr w:type="gramStart"/>
      <w:r>
        <w:rPr>
          <w:rFonts w:ascii="Verdana" w:hAnsi="Verdana" w:cs="Verdana"/>
          <w:sz w:val="20"/>
          <w:szCs w:val="20"/>
        </w:rPr>
        <w:t>gestione</w:t>
      </w:r>
      <w:proofErr w:type="gramEnd"/>
      <w:r>
        <w:rPr>
          <w:rFonts w:ascii="Verdana" w:hAnsi="Verdana" w:cs="Verdana"/>
          <w:sz w:val="20"/>
          <w:szCs w:val="20"/>
        </w:rPr>
        <w:t xml:space="preserve"> delle reversali di incassi e dei mandati di pagamenti a mezzo di contanti, assegni, bonifici, cambiali, POS, carte di credito e di ogni altro mezzo di pagamento correntemente utilizzabile;</w:t>
      </w:r>
    </w:p>
    <w:p w14:paraId="2CFD6311" w14:textId="77777777" w:rsidR="00A938CC" w:rsidRDefault="00A938CC" w:rsidP="00A938CC">
      <w:pPr>
        <w:widowControl w:val="0"/>
        <w:numPr>
          <w:ilvl w:val="0"/>
          <w:numId w:val="37"/>
        </w:numPr>
        <w:spacing w:before="120" w:line="276" w:lineRule="auto"/>
        <w:ind w:left="360" w:hanging="180"/>
        <w:jc w:val="both"/>
        <w:rPr>
          <w:rFonts w:ascii="Verdana" w:hAnsi="Verdana" w:cs="Verdana"/>
          <w:sz w:val="20"/>
          <w:szCs w:val="20"/>
        </w:rPr>
      </w:pPr>
      <w:proofErr w:type="gramStart"/>
      <w:r>
        <w:rPr>
          <w:rFonts w:ascii="Verdana" w:hAnsi="Verdana" w:cs="Verdana"/>
          <w:sz w:val="20"/>
          <w:szCs w:val="20"/>
        </w:rPr>
        <w:t>incasso</w:t>
      </w:r>
      <w:proofErr w:type="gramEnd"/>
      <w:r>
        <w:rPr>
          <w:rFonts w:ascii="Verdana" w:hAnsi="Verdana" w:cs="Verdana"/>
          <w:sz w:val="20"/>
          <w:szCs w:val="20"/>
        </w:rPr>
        <w:t xml:space="preserve"> delle bollette-fatture emesse dall’ente nei confronti dei propri utenti;</w:t>
      </w:r>
    </w:p>
    <w:p w14:paraId="0FCE5501" w14:textId="77777777" w:rsidR="00A938CC" w:rsidRDefault="00A938CC" w:rsidP="00A938CC">
      <w:pPr>
        <w:widowControl w:val="0"/>
        <w:numPr>
          <w:ilvl w:val="0"/>
          <w:numId w:val="37"/>
        </w:numPr>
        <w:spacing w:before="120" w:line="276" w:lineRule="auto"/>
        <w:ind w:left="360" w:hanging="180"/>
        <w:jc w:val="both"/>
        <w:rPr>
          <w:rFonts w:ascii="Verdana" w:hAnsi="Verdana" w:cs="Verdana"/>
          <w:sz w:val="20"/>
          <w:szCs w:val="20"/>
        </w:rPr>
      </w:pPr>
      <w:proofErr w:type="gramStart"/>
      <w:r>
        <w:rPr>
          <w:rFonts w:ascii="Verdana" w:hAnsi="Verdana" w:cs="Verdana"/>
          <w:sz w:val="20"/>
          <w:szCs w:val="20"/>
        </w:rPr>
        <w:t>custodia</w:t>
      </w:r>
      <w:proofErr w:type="gramEnd"/>
      <w:r>
        <w:rPr>
          <w:rFonts w:ascii="Verdana" w:hAnsi="Verdana" w:cs="Verdana"/>
          <w:sz w:val="20"/>
          <w:szCs w:val="20"/>
        </w:rPr>
        <w:t xml:space="preserve"> titoli e valori;</w:t>
      </w:r>
    </w:p>
    <w:p w14:paraId="799FB8F6" w14:textId="77777777" w:rsidR="00A938CC" w:rsidRDefault="00A938CC" w:rsidP="00A938CC">
      <w:pPr>
        <w:widowControl w:val="0"/>
        <w:numPr>
          <w:ilvl w:val="0"/>
          <w:numId w:val="37"/>
        </w:numPr>
        <w:spacing w:before="120" w:line="276" w:lineRule="auto"/>
        <w:ind w:left="360" w:hanging="180"/>
        <w:jc w:val="both"/>
        <w:rPr>
          <w:rFonts w:ascii="Verdana" w:hAnsi="Verdana" w:cs="Verdana"/>
          <w:sz w:val="20"/>
          <w:szCs w:val="20"/>
        </w:rPr>
      </w:pPr>
      <w:proofErr w:type="gramStart"/>
      <w:r>
        <w:rPr>
          <w:rFonts w:ascii="Verdana" w:hAnsi="Verdana" w:cs="Verdana"/>
          <w:sz w:val="20"/>
          <w:szCs w:val="20"/>
        </w:rPr>
        <w:t>rendicontazione</w:t>
      </w:r>
      <w:proofErr w:type="gramEnd"/>
      <w:r>
        <w:rPr>
          <w:rFonts w:ascii="Verdana" w:hAnsi="Verdana" w:cs="Verdana"/>
          <w:sz w:val="20"/>
          <w:szCs w:val="20"/>
        </w:rPr>
        <w:t xml:space="preserve"> ed informative periodiche;</w:t>
      </w:r>
    </w:p>
    <w:p w14:paraId="7F87BF02" w14:textId="77777777" w:rsidR="00A938CC" w:rsidRDefault="00A938CC" w:rsidP="00A938CC">
      <w:pPr>
        <w:widowControl w:val="0"/>
        <w:spacing w:before="120" w:line="276" w:lineRule="auto"/>
        <w:jc w:val="both"/>
        <w:rPr>
          <w:rFonts w:ascii="Verdana" w:hAnsi="Verdana" w:cs="Verdana"/>
          <w:sz w:val="20"/>
          <w:szCs w:val="20"/>
        </w:rPr>
      </w:pPr>
      <w:r>
        <w:rPr>
          <w:rFonts w:ascii="Verdana" w:hAnsi="Verdana" w:cs="Verdana"/>
          <w:sz w:val="20"/>
          <w:szCs w:val="20"/>
        </w:rPr>
        <w:t>b) affidamenti ed anticipazioni di cassa:</w:t>
      </w:r>
    </w:p>
    <w:p w14:paraId="15B7A37E" w14:textId="77777777" w:rsidR="00A938CC" w:rsidRDefault="00A938CC" w:rsidP="00A938CC">
      <w:pPr>
        <w:widowControl w:val="0"/>
        <w:numPr>
          <w:ilvl w:val="0"/>
          <w:numId w:val="37"/>
        </w:numPr>
        <w:spacing w:before="120" w:line="276" w:lineRule="auto"/>
        <w:ind w:left="360" w:hanging="180"/>
        <w:jc w:val="both"/>
        <w:rPr>
          <w:rFonts w:ascii="Verdana" w:hAnsi="Verdana" w:cs="Verdana"/>
          <w:sz w:val="20"/>
          <w:szCs w:val="20"/>
        </w:rPr>
      </w:pPr>
      <w:proofErr w:type="gramStart"/>
      <w:r>
        <w:rPr>
          <w:rFonts w:ascii="Verdana" w:hAnsi="Verdana" w:cs="Verdana"/>
          <w:sz w:val="20"/>
          <w:szCs w:val="20"/>
        </w:rPr>
        <w:t>concessione</w:t>
      </w:r>
      <w:proofErr w:type="gramEnd"/>
      <w:r>
        <w:rPr>
          <w:rFonts w:ascii="Verdana" w:hAnsi="Verdana" w:cs="Verdana"/>
          <w:sz w:val="20"/>
          <w:szCs w:val="20"/>
        </w:rPr>
        <w:t xml:space="preserve"> di affidamenti a breve per esigenze di elasticità di cassa, in forma di scoperto di conto corrente e/o anticipazioni, fino all’importo complessivo di € 4.000.000,00;</w:t>
      </w:r>
    </w:p>
    <w:p w14:paraId="4107E4AD" w14:textId="77777777" w:rsidR="00A938CC" w:rsidRDefault="00A938CC" w:rsidP="00A938CC">
      <w:pPr>
        <w:widowControl w:val="0"/>
        <w:numPr>
          <w:ilvl w:val="0"/>
          <w:numId w:val="38"/>
        </w:numPr>
        <w:spacing w:before="120" w:line="276" w:lineRule="auto"/>
        <w:ind w:left="284" w:hanging="284"/>
        <w:jc w:val="both"/>
        <w:rPr>
          <w:rFonts w:ascii="Verdana" w:hAnsi="Verdana" w:cs="Verdana"/>
          <w:sz w:val="20"/>
          <w:szCs w:val="20"/>
        </w:rPr>
      </w:pPr>
      <w:proofErr w:type="gramStart"/>
      <w:r>
        <w:rPr>
          <w:rFonts w:ascii="Verdana" w:hAnsi="Verdana" w:cs="Verdana"/>
          <w:sz w:val="20"/>
          <w:szCs w:val="20"/>
        </w:rPr>
        <w:t>rilascio</w:t>
      </w:r>
      <w:proofErr w:type="gramEnd"/>
      <w:r>
        <w:rPr>
          <w:rFonts w:ascii="Verdana" w:hAnsi="Verdana" w:cs="Verdana"/>
          <w:sz w:val="20"/>
          <w:szCs w:val="20"/>
        </w:rPr>
        <w:t xml:space="preserve"> di fideiussioni a favore di terzi nell’interesse dell’Ente, fino ad un ammontare massimo complessivo di € 2.000.000,00;</w:t>
      </w:r>
    </w:p>
    <w:p w14:paraId="66DC9AC2" w14:textId="77777777" w:rsidR="00A938CC" w:rsidRDefault="00A938CC" w:rsidP="00A938CC">
      <w:pPr>
        <w:widowControl w:val="0"/>
        <w:spacing w:before="120" w:line="276" w:lineRule="auto"/>
        <w:jc w:val="both"/>
        <w:rPr>
          <w:rFonts w:ascii="Verdana" w:hAnsi="Verdana" w:cs="Verdana"/>
          <w:sz w:val="20"/>
          <w:szCs w:val="20"/>
        </w:rPr>
      </w:pPr>
      <w:r>
        <w:rPr>
          <w:rFonts w:ascii="Verdana" w:hAnsi="Verdana" w:cs="Verdana"/>
          <w:sz w:val="20"/>
          <w:szCs w:val="20"/>
        </w:rPr>
        <w:t>Il Tesoriere si impegna ad attivare – ove richiesto dall’Ente – la funzione di cash-</w:t>
      </w:r>
      <w:proofErr w:type="spellStart"/>
      <w:r>
        <w:rPr>
          <w:rFonts w:ascii="Verdana" w:hAnsi="Verdana" w:cs="Verdana"/>
          <w:sz w:val="20"/>
          <w:szCs w:val="20"/>
        </w:rPr>
        <w:t>pooling</w:t>
      </w:r>
      <w:proofErr w:type="spellEnd"/>
      <w:r>
        <w:rPr>
          <w:rFonts w:ascii="Verdana" w:hAnsi="Verdana" w:cs="Verdana"/>
          <w:sz w:val="20"/>
          <w:szCs w:val="20"/>
        </w:rPr>
        <w:t xml:space="preserve"> fra i conti correnti di corrispondenza aperti a nome dell’ente, per il trasferimento quotidiano dei movimenti avvenuti sui conti correnti subordinati, su un conto generale indicato dall’Ente, con pari valuta e senza l’addebito di alcun onere o commissione.</w:t>
      </w:r>
    </w:p>
    <w:p w14:paraId="382A037B" w14:textId="77777777" w:rsidR="00A938CC" w:rsidRDefault="00A938CC" w:rsidP="00A938CC">
      <w:pPr>
        <w:widowControl w:val="0"/>
        <w:spacing w:before="120" w:line="276" w:lineRule="auto"/>
        <w:jc w:val="both"/>
        <w:rPr>
          <w:rFonts w:ascii="Verdana" w:hAnsi="Verdana" w:cs="Verdana"/>
          <w:sz w:val="20"/>
          <w:szCs w:val="20"/>
        </w:rPr>
      </w:pPr>
      <w:r>
        <w:rPr>
          <w:rFonts w:ascii="Verdana" w:hAnsi="Verdana" w:cs="Verdana"/>
          <w:sz w:val="20"/>
          <w:szCs w:val="20"/>
        </w:rPr>
        <w:t>2. I servizi di cui alla presente convenzione non sono affidati in via esclusiva; la società concedente si riserva espressamente la facoltà di affidare uno o più dei medesimi servizi ad altri istituti di credito e/o soggetti abilitati, mediante la sottoscrizione di apposite convenzioni.</w:t>
      </w:r>
    </w:p>
    <w:p w14:paraId="3ED45AF4" w14:textId="77777777" w:rsidR="00A938CC" w:rsidRDefault="00A938CC" w:rsidP="00A938CC">
      <w:pPr>
        <w:widowControl w:val="0"/>
        <w:spacing w:before="120" w:line="276" w:lineRule="auto"/>
        <w:jc w:val="both"/>
        <w:rPr>
          <w:rFonts w:ascii="Verdana" w:hAnsi="Verdana" w:cs="Verdana"/>
          <w:sz w:val="20"/>
          <w:szCs w:val="20"/>
        </w:rPr>
      </w:pPr>
      <w:r>
        <w:rPr>
          <w:rFonts w:ascii="Verdana" w:hAnsi="Verdana" w:cs="Verdana"/>
          <w:sz w:val="20"/>
          <w:szCs w:val="20"/>
        </w:rPr>
        <w:t>3. Il Tesoriere si impegna, altresì, ad assumere, alle medesime condizioni, previa comunicazione scritta, la gestione del servizio di “Cassa” di ogni altro servizio e/o gestione che alla società dovesse essere affidata nel corso della durata della presente Convenzione. Parimenti, la Banca dichiara sin d’ora di subire eventuali variazioni in meno del numero complessivo dei servizi societari gestiti eventualmente dimessi, nonché variazioni in più per disaggregazione di talune sezioni attualmente esistenti, conseguente a modificazioni organizzative o ad esigenze contabili.</w:t>
      </w:r>
    </w:p>
    <w:p w14:paraId="73B2113D" w14:textId="77777777" w:rsidR="00A938CC" w:rsidRDefault="00A938CC" w:rsidP="00A938CC">
      <w:pPr>
        <w:widowControl w:val="0"/>
        <w:spacing w:before="120" w:line="276" w:lineRule="auto"/>
        <w:jc w:val="both"/>
        <w:rPr>
          <w:rFonts w:ascii="Verdana" w:hAnsi="Verdana" w:cs="Verdana"/>
          <w:sz w:val="20"/>
          <w:szCs w:val="20"/>
        </w:rPr>
      </w:pPr>
      <w:r>
        <w:rPr>
          <w:rFonts w:ascii="Verdana" w:hAnsi="Verdana" w:cs="Verdana"/>
          <w:sz w:val="20"/>
          <w:szCs w:val="20"/>
        </w:rPr>
        <w:t xml:space="preserve">4. Per l’erogazione dei soli servizi di cui alla precedente lettera a), l’Ente corrisponderà al Tesoriere, che accetta, l’importo onnicomprensivo annuo di € </w:t>
      </w:r>
      <w:proofErr w:type="gramStart"/>
      <w:r>
        <w:rPr>
          <w:rFonts w:ascii="Verdana" w:hAnsi="Verdana" w:cs="Verdana"/>
          <w:sz w:val="20"/>
          <w:szCs w:val="20"/>
        </w:rPr>
        <w:t>…….</w:t>
      </w:r>
      <w:proofErr w:type="gramEnd"/>
      <w:r>
        <w:rPr>
          <w:rFonts w:ascii="Verdana" w:hAnsi="Verdana" w:cs="Verdana"/>
          <w:sz w:val="20"/>
          <w:szCs w:val="20"/>
        </w:rPr>
        <w:t xml:space="preserve">,.., oltre all’IVA, se dovuta. Il predetto importo sarà addebitato direttamente in conto corrente, mensilmente. </w:t>
      </w:r>
    </w:p>
    <w:p w14:paraId="114C3FC2" w14:textId="77777777" w:rsidR="00A938CC" w:rsidRDefault="00A938CC" w:rsidP="00A938CC">
      <w:pPr>
        <w:widowControl w:val="0"/>
        <w:spacing w:before="120" w:line="276" w:lineRule="auto"/>
        <w:jc w:val="both"/>
        <w:rPr>
          <w:rFonts w:ascii="Verdana" w:hAnsi="Verdana" w:cs="Verdana"/>
          <w:sz w:val="20"/>
          <w:szCs w:val="20"/>
        </w:rPr>
      </w:pPr>
      <w:r>
        <w:rPr>
          <w:rFonts w:ascii="Verdana" w:hAnsi="Verdana" w:cs="Verdana"/>
          <w:sz w:val="20"/>
          <w:szCs w:val="20"/>
        </w:rPr>
        <w:t>5. Il corrispettivo di cui al precedente comma è forfettario ed omnicomprensivo e null’altro è dovuto per spese postali, bolli, oneri fiscali, spese di istruttoria, spese di tenuta conto, spese di liquidazione periodica, eventuali spese per riscossioni e ad ogni altro titolo.</w:t>
      </w:r>
    </w:p>
    <w:p w14:paraId="3536ACD9" w14:textId="77777777" w:rsidR="00A938CC" w:rsidRDefault="00A938CC" w:rsidP="00A938CC">
      <w:pPr>
        <w:widowControl w:val="0"/>
        <w:spacing w:before="120" w:line="276" w:lineRule="auto"/>
        <w:jc w:val="both"/>
        <w:rPr>
          <w:rFonts w:ascii="Verdana" w:hAnsi="Verdana" w:cs="Verdana"/>
          <w:sz w:val="20"/>
          <w:szCs w:val="20"/>
        </w:rPr>
      </w:pPr>
      <w:r>
        <w:rPr>
          <w:rFonts w:ascii="Verdana" w:hAnsi="Verdana" w:cs="Verdana"/>
          <w:sz w:val="20"/>
          <w:szCs w:val="20"/>
        </w:rPr>
        <w:t>6. I servizi di cui alle lettere b) e c) saranno remunerati secondo quanto previsto dal successivo articolo 7.</w:t>
      </w:r>
    </w:p>
    <w:p w14:paraId="0D91E397" w14:textId="77777777" w:rsidR="00A938CC" w:rsidRDefault="00A938CC" w:rsidP="00A938CC">
      <w:pPr>
        <w:widowControl w:val="0"/>
        <w:spacing w:before="120" w:line="276" w:lineRule="auto"/>
        <w:jc w:val="both"/>
        <w:rPr>
          <w:rFonts w:ascii="Verdana" w:hAnsi="Verdana" w:cs="Verdana"/>
          <w:sz w:val="20"/>
          <w:szCs w:val="20"/>
        </w:rPr>
      </w:pPr>
      <w:r>
        <w:rPr>
          <w:rFonts w:ascii="Verdana" w:hAnsi="Verdana" w:cs="Verdana"/>
          <w:sz w:val="20"/>
          <w:szCs w:val="20"/>
        </w:rPr>
        <w:t xml:space="preserve">7. Il Tesoriere, con la sottoscrizione della presente convenzione, si impegna a subentrare nei rapporti in essere con il precedente gestore, in particolare estinguendo gli affidamenti e le anticipazioni esistenti alla medesima data e sostituendo le fidejussioni emesse in favore di terzi e nell’interesse di AMSC S.p.A., nei limiti previsti dal precedente art 2, </w:t>
      </w:r>
      <w:proofErr w:type="spellStart"/>
      <w:r>
        <w:rPr>
          <w:rFonts w:ascii="Verdana" w:hAnsi="Verdana" w:cs="Verdana"/>
          <w:sz w:val="20"/>
          <w:szCs w:val="20"/>
        </w:rPr>
        <w:t>lett</w:t>
      </w:r>
      <w:proofErr w:type="spellEnd"/>
      <w:r>
        <w:rPr>
          <w:rFonts w:ascii="Verdana" w:hAnsi="Verdana" w:cs="Verdana"/>
          <w:sz w:val="20"/>
          <w:szCs w:val="20"/>
        </w:rPr>
        <w:t>. b) e c).</w:t>
      </w:r>
    </w:p>
    <w:p w14:paraId="30D4DAC5" w14:textId="77777777" w:rsidR="00A938CC" w:rsidRDefault="00A938CC" w:rsidP="00A938CC">
      <w:pPr>
        <w:widowControl w:val="0"/>
        <w:spacing w:before="120" w:line="320" w:lineRule="exact"/>
        <w:jc w:val="both"/>
        <w:rPr>
          <w:rFonts w:ascii="Verdana" w:hAnsi="Verdana" w:cs="Verdana"/>
          <w:b/>
          <w:bCs/>
          <w:sz w:val="20"/>
          <w:szCs w:val="20"/>
        </w:rPr>
      </w:pPr>
    </w:p>
    <w:p w14:paraId="58BFF908" w14:textId="77777777" w:rsidR="00A938CC" w:rsidRDefault="00A938CC" w:rsidP="00A938CC">
      <w:pPr>
        <w:widowControl w:val="0"/>
        <w:spacing w:before="120" w:line="320" w:lineRule="exact"/>
        <w:jc w:val="both"/>
        <w:rPr>
          <w:rFonts w:ascii="Verdana" w:hAnsi="Verdana" w:cs="Verdana"/>
          <w:b/>
          <w:bCs/>
          <w:sz w:val="20"/>
          <w:szCs w:val="20"/>
        </w:rPr>
      </w:pPr>
    </w:p>
    <w:p w14:paraId="70D972E8" w14:textId="77777777" w:rsidR="00A938CC" w:rsidRDefault="00A938CC" w:rsidP="00A938CC">
      <w:pPr>
        <w:widowControl w:val="0"/>
        <w:spacing w:before="120" w:line="276" w:lineRule="auto"/>
        <w:jc w:val="both"/>
        <w:rPr>
          <w:rFonts w:ascii="Verdana" w:hAnsi="Verdana" w:cs="Verdana"/>
          <w:b/>
          <w:bCs/>
          <w:sz w:val="20"/>
          <w:szCs w:val="20"/>
        </w:rPr>
      </w:pPr>
      <w:r>
        <w:rPr>
          <w:rFonts w:ascii="Verdana" w:hAnsi="Verdana" w:cs="Verdana"/>
          <w:b/>
          <w:bCs/>
          <w:sz w:val="20"/>
          <w:szCs w:val="20"/>
        </w:rPr>
        <w:lastRenderedPageBreak/>
        <w:t>ART. 3 POTERI DI FIRMA, DOCUMENTAZIONE SOCIETARIA</w:t>
      </w:r>
    </w:p>
    <w:p w14:paraId="611A2916" w14:textId="77777777" w:rsidR="00A938CC" w:rsidRDefault="00A938CC" w:rsidP="00A938CC">
      <w:pPr>
        <w:widowControl w:val="0"/>
        <w:spacing w:before="120" w:line="276" w:lineRule="auto"/>
        <w:jc w:val="both"/>
        <w:rPr>
          <w:rFonts w:ascii="Verdana" w:hAnsi="Verdana" w:cs="Verdana"/>
          <w:sz w:val="20"/>
          <w:szCs w:val="20"/>
        </w:rPr>
      </w:pPr>
      <w:r>
        <w:rPr>
          <w:rFonts w:ascii="Verdana" w:hAnsi="Verdana" w:cs="Verdana"/>
          <w:sz w:val="20"/>
          <w:szCs w:val="20"/>
        </w:rPr>
        <w:t>L’Ente si impegna a comunicare preventivamente le firme autografe, le generalità e le qualifiche delle persone autorizzate, nonché tutte le variazioni successive ed a documentare i poteri dei propri rappresentanti che agiscono in nome dell’ente stesso.</w:t>
      </w:r>
    </w:p>
    <w:p w14:paraId="7E6DAFF9" w14:textId="0481A059" w:rsidR="00A938CC" w:rsidRPr="00A938CC" w:rsidRDefault="00A938CC" w:rsidP="00A938CC">
      <w:pPr>
        <w:widowControl w:val="0"/>
        <w:spacing w:before="120" w:line="276" w:lineRule="auto"/>
        <w:jc w:val="both"/>
        <w:rPr>
          <w:rFonts w:ascii="Verdana" w:hAnsi="Verdana" w:cs="Verdana"/>
          <w:sz w:val="20"/>
          <w:szCs w:val="20"/>
        </w:rPr>
      </w:pPr>
      <w:r>
        <w:rPr>
          <w:rFonts w:ascii="Verdana" w:hAnsi="Verdana" w:cs="Verdana"/>
          <w:sz w:val="20"/>
          <w:szCs w:val="20"/>
        </w:rPr>
        <w:t>L’Ente si impegna altresì a fornire al Tesoriere i propri bilanci e la documentazione societaria necessaria.</w:t>
      </w:r>
    </w:p>
    <w:p w14:paraId="5104DF50" w14:textId="77777777" w:rsidR="00A938CC" w:rsidRDefault="00A938CC" w:rsidP="00A938CC">
      <w:pPr>
        <w:widowControl w:val="0"/>
        <w:spacing w:before="120" w:line="276" w:lineRule="auto"/>
        <w:jc w:val="both"/>
        <w:rPr>
          <w:rFonts w:ascii="Verdana" w:hAnsi="Verdana" w:cs="Verdana"/>
          <w:b/>
          <w:bCs/>
          <w:sz w:val="20"/>
          <w:szCs w:val="20"/>
        </w:rPr>
      </w:pPr>
      <w:r>
        <w:rPr>
          <w:rFonts w:ascii="Verdana" w:hAnsi="Verdana" w:cs="Verdana"/>
          <w:b/>
          <w:bCs/>
          <w:sz w:val="20"/>
          <w:szCs w:val="20"/>
        </w:rPr>
        <w:t>ART. 4 GESTIONE INFORMATIZZATA DEL SERVIZIO DI TESORERIA (Remote banking)</w:t>
      </w:r>
    </w:p>
    <w:p w14:paraId="42F7E3A4" w14:textId="77777777" w:rsidR="00A938CC" w:rsidRDefault="00A938CC" w:rsidP="00A938CC">
      <w:pPr>
        <w:widowControl w:val="0"/>
        <w:spacing w:before="120" w:line="276" w:lineRule="auto"/>
        <w:jc w:val="both"/>
        <w:rPr>
          <w:rFonts w:ascii="Verdana" w:hAnsi="Verdana" w:cs="Verdana"/>
          <w:sz w:val="20"/>
          <w:szCs w:val="20"/>
        </w:rPr>
      </w:pPr>
      <w:r>
        <w:rPr>
          <w:rFonts w:ascii="Verdana" w:hAnsi="Verdana" w:cs="Verdana"/>
          <w:sz w:val="20"/>
          <w:szCs w:val="20"/>
        </w:rPr>
        <w:t>1. Il servizio di tesoreria viene gestito con metodologie e criteri informatici mediante collegamento informatico tra il servizio finanziario dell’Ente ed il Tesoriere, per lo scambio di flussi di dati e di informazioni relativi alla gestione del servizio in maniera integrata con il programma di contabilità dell’Ente. In particolare l’Ente dovrà essere in grado di visualizzare la situazione di cassa presso il Tesoriere, lo stato dei mandati trasmessi e delle operazioni effettuate; deve inoltre essere in grado di trasmettere tramite flusso informatico le disposizioni effettuate acquisendo, di converso, dal Tesoriere il flusso relativo allo stato delle stesse. Il tesoriere si impegna a realizzare l’introduzione della firma digitale e della certificazione elettronica senza oneri aggiuntivi per l’Ente, sia in termini di attivazione iniziale sia di costi successivi.</w:t>
      </w:r>
    </w:p>
    <w:p w14:paraId="3AE4F3C7" w14:textId="77777777" w:rsidR="00A938CC" w:rsidRDefault="00A938CC" w:rsidP="00A938CC">
      <w:pPr>
        <w:widowControl w:val="0"/>
        <w:spacing w:before="120" w:line="276" w:lineRule="auto"/>
        <w:jc w:val="both"/>
        <w:rPr>
          <w:rFonts w:ascii="Verdana" w:hAnsi="Verdana" w:cs="Verdana"/>
          <w:sz w:val="20"/>
          <w:szCs w:val="20"/>
        </w:rPr>
      </w:pPr>
      <w:r>
        <w:rPr>
          <w:rFonts w:ascii="Verdana" w:hAnsi="Verdana" w:cs="Verdana"/>
          <w:sz w:val="20"/>
          <w:szCs w:val="20"/>
        </w:rPr>
        <w:t>2. Il Tesoriere si impegna a rendere operativo il collegamento di cui sopra e l’interscambio dei flussi informatici con l’Ente entro quindici (15) giorni dalla sottoscrizione del presente contratto facendosi carico di tutti gli oneri e le spese allo scopo necessarie.</w:t>
      </w:r>
    </w:p>
    <w:p w14:paraId="7C68F407" w14:textId="77777777" w:rsidR="00A938CC" w:rsidRDefault="00A938CC" w:rsidP="00A938CC">
      <w:pPr>
        <w:widowControl w:val="0"/>
        <w:spacing w:before="120" w:line="276" w:lineRule="auto"/>
        <w:jc w:val="both"/>
        <w:rPr>
          <w:rFonts w:ascii="Verdana" w:hAnsi="Verdana" w:cs="Verdana"/>
          <w:sz w:val="20"/>
          <w:szCs w:val="20"/>
        </w:rPr>
      </w:pPr>
      <w:r>
        <w:rPr>
          <w:rFonts w:ascii="Verdana" w:hAnsi="Verdana" w:cs="Verdana"/>
          <w:sz w:val="20"/>
          <w:szCs w:val="20"/>
        </w:rPr>
        <w:t>3. Il Tesoriere deve attivare entro quindici (15) giorni dalla richiesta dell’ente, tutte le procedure necessarie all’avvio della gestione dell’ordinativo informatico (mandati e disposizioni) a “firma digitale”. Il Tesoriere invierà una ricevuta elettronica a comprova dell’avvenuta corretta ricezione dei dati o l’indicazione dettagliata degli errori intercorsi che hanno causato lo scarto degli stessi. Il Tesoriere si impegna inoltre a mettere a disposizione proprio personale specializzato e a fornire consulenza ai fini dell’integrazione delle procedure informatiche utilizzate, obbligandosi ad adeguarsi ai sistemi informatici in uso presso l’Ente.</w:t>
      </w:r>
    </w:p>
    <w:p w14:paraId="6166AF78" w14:textId="77777777" w:rsidR="00A938CC" w:rsidRDefault="00A938CC" w:rsidP="00A938CC">
      <w:pPr>
        <w:widowControl w:val="0"/>
        <w:spacing w:before="120" w:line="276" w:lineRule="auto"/>
        <w:jc w:val="both"/>
        <w:rPr>
          <w:rFonts w:ascii="Verdana" w:hAnsi="Verdana" w:cs="Verdana"/>
          <w:sz w:val="20"/>
          <w:szCs w:val="20"/>
        </w:rPr>
      </w:pPr>
      <w:r>
        <w:rPr>
          <w:rFonts w:ascii="Verdana" w:hAnsi="Verdana" w:cs="Verdana"/>
          <w:sz w:val="20"/>
          <w:szCs w:val="20"/>
        </w:rPr>
        <w:t>4. Saranno tuttavia ammessi disposizioni e mandati di pagamento cartacei.</w:t>
      </w:r>
    </w:p>
    <w:p w14:paraId="3B668368" w14:textId="77777777" w:rsidR="00A938CC" w:rsidRDefault="00A938CC" w:rsidP="00A938CC">
      <w:pPr>
        <w:widowControl w:val="0"/>
        <w:spacing w:before="120" w:line="276" w:lineRule="auto"/>
        <w:jc w:val="both"/>
        <w:rPr>
          <w:rFonts w:ascii="Verdana" w:hAnsi="Verdana" w:cs="Verdana"/>
          <w:b/>
          <w:bCs/>
          <w:sz w:val="20"/>
          <w:szCs w:val="20"/>
        </w:rPr>
      </w:pPr>
      <w:r>
        <w:rPr>
          <w:rFonts w:ascii="Verdana" w:hAnsi="Verdana" w:cs="Verdana"/>
          <w:b/>
          <w:bCs/>
          <w:sz w:val="20"/>
          <w:szCs w:val="20"/>
        </w:rPr>
        <w:t>ART. 5 INCASSI E PAGAMENTI</w:t>
      </w:r>
    </w:p>
    <w:p w14:paraId="66CC0D70" w14:textId="77777777" w:rsidR="00A938CC" w:rsidRDefault="00A938CC" w:rsidP="00A938CC">
      <w:pPr>
        <w:widowControl w:val="0"/>
        <w:spacing w:before="120" w:line="276" w:lineRule="auto"/>
        <w:jc w:val="both"/>
        <w:rPr>
          <w:rFonts w:ascii="Verdana" w:hAnsi="Verdana" w:cs="Verdana"/>
          <w:sz w:val="20"/>
          <w:szCs w:val="20"/>
        </w:rPr>
      </w:pPr>
      <w:r>
        <w:rPr>
          <w:rFonts w:ascii="Verdana" w:hAnsi="Verdana" w:cs="Verdana"/>
          <w:sz w:val="20"/>
          <w:szCs w:val="20"/>
        </w:rPr>
        <w:t>1.Qualora la trasmissione degli ordinativi di riscossione avvenga anche per via informatica, l’Ente si impegna a garantire la corrispondenza dei dati degli ordini cartacei con quelli trasmessi per via informatica.</w:t>
      </w:r>
    </w:p>
    <w:p w14:paraId="3D2C67AA" w14:textId="77777777" w:rsidR="00A938CC" w:rsidRDefault="00A938CC" w:rsidP="00A938CC">
      <w:pPr>
        <w:widowControl w:val="0"/>
        <w:spacing w:before="120" w:line="276" w:lineRule="auto"/>
        <w:jc w:val="both"/>
        <w:rPr>
          <w:rFonts w:ascii="Verdana" w:hAnsi="Verdana" w:cs="Verdana"/>
          <w:sz w:val="20"/>
          <w:szCs w:val="20"/>
        </w:rPr>
      </w:pPr>
      <w:r>
        <w:rPr>
          <w:rFonts w:ascii="Verdana" w:hAnsi="Verdana" w:cs="Verdana"/>
          <w:sz w:val="20"/>
          <w:szCs w:val="20"/>
        </w:rPr>
        <w:t>2. Su richiesta dell’Ente, gli utenti possono provvedere ai pagamenti di cui sopra a mezzo di addebito permanente tramite domiciliazione bancaria (SDD), con avvisi MAV o ricorrendo al servizio POS, BANKPASS e/o altri servizi di pagamento on line.</w:t>
      </w:r>
    </w:p>
    <w:p w14:paraId="6B91C6C3" w14:textId="77777777" w:rsidR="00A938CC" w:rsidRDefault="00A938CC" w:rsidP="00A938CC">
      <w:pPr>
        <w:widowControl w:val="0"/>
        <w:spacing w:before="120" w:line="276" w:lineRule="auto"/>
        <w:jc w:val="both"/>
        <w:rPr>
          <w:rFonts w:ascii="Verdana" w:hAnsi="Verdana" w:cs="Verdana"/>
          <w:sz w:val="20"/>
          <w:szCs w:val="20"/>
        </w:rPr>
      </w:pPr>
      <w:r>
        <w:rPr>
          <w:rFonts w:ascii="Verdana" w:hAnsi="Verdana" w:cs="Verdana"/>
          <w:sz w:val="20"/>
          <w:szCs w:val="20"/>
        </w:rPr>
        <w:t>In tal caso per la formalizzazione degli accordi relativi a tali servizi può procedersi con scambio di lettere.</w:t>
      </w:r>
    </w:p>
    <w:p w14:paraId="52831728" w14:textId="77777777" w:rsidR="00A938CC" w:rsidRDefault="00A938CC" w:rsidP="00A938CC">
      <w:pPr>
        <w:widowControl w:val="0"/>
        <w:spacing w:before="120" w:line="276" w:lineRule="auto"/>
        <w:jc w:val="both"/>
        <w:rPr>
          <w:rFonts w:ascii="Verdana" w:hAnsi="Verdana" w:cs="Verdana"/>
          <w:sz w:val="20"/>
          <w:szCs w:val="20"/>
        </w:rPr>
      </w:pPr>
      <w:r>
        <w:rPr>
          <w:rFonts w:ascii="Verdana" w:hAnsi="Verdana" w:cs="Verdana"/>
          <w:sz w:val="20"/>
          <w:szCs w:val="20"/>
        </w:rPr>
        <w:t>3. I pagamenti sono effettuati esclusivamente in base a mandati di pagamento, individuali o collettivi, emessi dall’Ente su supporto cartaceo od in via telematica.</w:t>
      </w:r>
    </w:p>
    <w:p w14:paraId="6BE0A287" w14:textId="77777777" w:rsidR="00A938CC" w:rsidRDefault="00A938CC" w:rsidP="00A938CC">
      <w:pPr>
        <w:widowControl w:val="0"/>
        <w:spacing w:before="120" w:line="276" w:lineRule="auto"/>
        <w:jc w:val="both"/>
        <w:rPr>
          <w:rFonts w:ascii="Verdana" w:hAnsi="Verdana" w:cs="Verdana"/>
          <w:sz w:val="20"/>
          <w:szCs w:val="20"/>
        </w:rPr>
      </w:pPr>
    </w:p>
    <w:p w14:paraId="23C80583" w14:textId="77777777" w:rsidR="00A938CC" w:rsidRDefault="00A938CC" w:rsidP="00A938CC">
      <w:pPr>
        <w:widowControl w:val="0"/>
        <w:spacing w:before="120" w:line="276" w:lineRule="auto"/>
        <w:jc w:val="both"/>
        <w:rPr>
          <w:rFonts w:ascii="Verdana" w:hAnsi="Verdana" w:cs="Verdana"/>
          <w:sz w:val="20"/>
          <w:szCs w:val="20"/>
        </w:rPr>
      </w:pPr>
    </w:p>
    <w:p w14:paraId="0A1C3E2A" w14:textId="77777777" w:rsidR="00A938CC" w:rsidRDefault="00A938CC" w:rsidP="00A938CC">
      <w:pPr>
        <w:widowControl w:val="0"/>
        <w:spacing w:before="120" w:line="320" w:lineRule="exact"/>
        <w:jc w:val="both"/>
        <w:rPr>
          <w:rFonts w:ascii="Verdana" w:hAnsi="Verdana" w:cs="Verdana"/>
          <w:sz w:val="20"/>
          <w:szCs w:val="20"/>
        </w:rPr>
      </w:pPr>
      <w:r>
        <w:rPr>
          <w:rFonts w:ascii="Verdana" w:hAnsi="Verdana" w:cs="Verdana"/>
          <w:sz w:val="20"/>
          <w:szCs w:val="20"/>
        </w:rPr>
        <w:lastRenderedPageBreak/>
        <w:t>4. I mandati di pagamento sono firmati da persona munita dei necessari poteri, con firma autografa, ovvero digitale se l’ordine viene impartito tramite remote banking. In caso di ordine telematico, l’Ente potrà anche fornirne copia cartacea, al fine di consentire al Tesoriere di controllarne la rispondenza, se richiesto dall’ENTE.</w:t>
      </w:r>
    </w:p>
    <w:p w14:paraId="7889828F" w14:textId="77777777" w:rsidR="00A938CC" w:rsidRDefault="00A938CC" w:rsidP="00A938CC">
      <w:pPr>
        <w:widowControl w:val="0"/>
        <w:spacing w:before="120" w:line="320" w:lineRule="exact"/>
        <w:jc w:val="both"/>
        <w:rPr>
          <w:rFonts w:ascii="Verdana" w:hAnsi="Verdana" w:cs="Verdana"/>
          <w:sz w:val="20"/>
          <w:szCs w:val="20"/>
        </w:rPr>
      </w:pPr>
      <w:r>
        <w:rPr>
          <w:rFonts w:ascii="Verdana" w:hAnsi="Verdana" w:cs="Verdana"/>
          <w:sz w:val="20"/>
          <w:szCs w:val="20"/>
        </w:rPr>
        <w:t>5. Il Tesoriere ha l’obbligo:</w:t>
      </w:r>
    </w:p>
    <w:p w14:paraId="4E6295B8" w14:textId="77777777" w:rsidR="00A938CC" w:rsidRDefault="00A938CC" w:rsidP="00A938CC">
      <w:pPr>
        <w:widowControl w:val="0"/>
        <w:spacing w:before="120" w:line="320" w:lineRule="exact"/>
        <w:ind w:left="360" w:hanging="360"/>
        <w:jc w:val="both"/>
        <w:rPr>
          <w:rFonts w:ascii="Verdana" w:hAnsi="Verdana" w:cs="Verdana"/>
          <w:sz w:val="20"/>
          <w:szCs w:val="20"/>
        </w:rPr>
      </w:pPr>
      <w:r>
        <w:rPr>
          <w:rFonts w:ascii="Verdana" w:hAnsi="Verdana" w:cs="Verdana"/>
          <w:sz w:val="20"/>
          <w:szCs w:val="20"/>
        </w:rPr>
        <w:t>a) di accertare l’autenticità delle firme e la regolarità dei poteri e di identificare, ai fini della regolarità della quietanza, i beneficiari dei pagamenti;</w:t>
      </w:r>
    </w:p>
    <w:p w14:paraId="371691BB" w14:textId="77777777" w:rsidR="00A938CC" w:rsidRDefault="00A938CC" w:rsidP="00A938CC">
      <w:pPr>
        <w:widowControl w:val="0"/>
        <w:spacing w:before="120" w:line="320" w:lineRule="exact"/>
        <w:ind w:left="360" w:hanging="360"/>
        <w:jc w:val="both"/>
        <w:rPr>
          <w:rFonts w:ascii="Verdana" w:hAnsi="Verdana" w:cs="Verdana"/>
          <w:sz w:val="20"/>
          <w:szCs w:val="20"/>
        </w:rPr>
      </w:pPr>
      <w:r>
        <w:rPr>
          <w:rFonts w:ascii="Verdana" w:hAnsi="Verdana" w:cs="Verdana"/>
          <w:sz w:val="20"/>
          <w:szCs w:val="20"/>
        </w:rPr>
        <w:t>b) di assicurare la tempestiva estinzione dei pagamenti, tenendo conto di eventuali prescrizioni in essi contenute, nell’ambito dell’effettiva disponibilità di cassa o dei fidi accordati</w:t>
      </w:r>
    </w:p>
    <w:p w14:paraId="77E17D42" w14:textId="77777777" w:rsidR="00A938CC" w:rsidRDefault="00A938CC" w:rsidP="00A938CC">
      <w:pPr>
        <w:widowControl w:val="0"/>
        <w:spacing w:before="120" w:line="320" w:lineRule="exact"/>
        <w:jc w:val="both"/>
        <w:rPr>
          <w:rFonts w:ascii="Verdana" w:hAnsi="Verdana" w:cs="Verdana"/>
          <w:sz w:val="20"/>
          <w:szCs w:val="20"/>
        </w:rPr>
      </w:pPr>
      <w:r>
        <w:rPr>
          <w:rFonts w:ascii="Verdana" w:hAnsi="Verdana" w:cs="Verdana"/>
          <w:sz w:val="20"/>
          <w:szCs w:val="20"/>
        </w:rPr>
        <w:t>6. Eventuali commissioni, spese e tasse reclamate dalle banche corrispondenti o da terzi inerenti l’esecuzione di ogni pagamento ordinato dall’Ente non saranno a carico dell’Ente stesso, salvo diversa specifica disposizione dell’Ente medesimo.</w:t>
      </w:r>
    </w:p>
    <w:p w14:paraId="208F5460" w14:textId="77777777" w:rsidR="00A938CC" w:rsidRDefault="00A938CC" w:rsidP="00A938CC">
      <w:pPr>
        <w:widowControl w:val="0"/>
        <w:spacing w:before="120" w:line="320" w:lineRule="exact"/>
        <w:jc w:val="both"/>
        <w:rPr>
          <w:rFonts w:ascii="Verdana" w:hAnsi="Verdana" w:cs="Verdana"/>
          <w:sz w:val="20"/>
          <w:szCs w:val="20"/>
        </w:rPr>
      </w:pPr>
      <w:r>
        <w:rPr>
          <w:rFonts w:ascii="Verdana" w:hAnsi="Verdana" w:cs="Verdana"/>
          <w:sz w:val="20"/>
          <w:szCs w:val="20"/>
        </w:rPr>
        <w:t>7. Per ogni operazione di incasso o pagamento il Tesoriere rilascerà adeguata documentazione contabile in via informatica o, a richiesta dell’ente, cartacea. Su richiesta dell’Ente, il Tesoriere fornisce gli estremi di qualsiasi operazione di pagamento eseguita, nonché la relativa prova documentale.</w:t>
      </w:r>
    </w:p>
    <w:p w14:paraId="35A4A30B" w14:textId="77777777" w:rsidR="00A938CC" w:rsidRDefault="00A938CC" w:rsidP="00A938CC">
      <w:pPr>
        <w:widowControl w:val="0"/>
        <w:spacing w:before="120" w:line="320" w:lineRule="exact"/>
        <w:jc w:val="both"/>
        <w:rPr>
          <w:rFonts w:ascii="Verdana" w:hAnsi="Verdana" w:cs="Verdana"/>
          <w:sz w:val="20"/>
          <w:szCs w:val="20"/>
        </w:rPr>
      </w:pPr>
      <w:r>
        <w:rPr>
          <w:rFonts w:ascii="Verdana" w:hAnsi="Verdana" w:cs="Verdana"/>
          <w:sz w:val="20"/>
          <w:szCs w:val="20"/>
        </w:rPr>
        <w:t>8. Il Tesoriere si obbliga a riaccreditare all’Ente l’importo degli assegni circolari rientranti per l’irreperibilità degli intestatari ed a comunicare, contestualmente all’Ente stesso, gli estremi del mandato di pagamento nel quale era ricompreso il beneficiario irreperibile.</w:t>
      </w:r>
    </w:p>
    <w:p w14:paraId="080FB15E" w14:textId="77777777" w:rsidR="00A938CC" w:rsidRDefault="00A938CC" w:rsidP="00A938CC">
      <w:pPr>
        <w:widowControl w:val="0"/>
        <w:spacing w:before="120" w:line="320" w:lineRule="exact"/>
        <w:jc w:val="both"/>
        <w:rPr>
          <w:rFonts w:ascii="Verdana" w:hAnsi="Verdana" w:cs="Verdana"/>
          <w:sz w:val="20"/>
          <w:szCs w:val="20"/>
        </w:rPr>
      </w:pPr>
      <w:r>
        <w:rPr>
          <w:rFonts w:ascii="Verdana" w:hAnsi="Verdana" w:cs="Verdana"/>
          <w:sz w:val="20"/>
          <w:szCs w:val="20"/>
        </w:rPr>
        <w:t xml:space="preserve"> 9. Il pagamento dei contributi previdenziali, nonché delle ritenute erariali e delle imposte, dovrà essere eseguito mediante il modello F24 secondo le modalità stabilite dal Ministero dell’Economia e delle Finanze e dall’Agenzia delle Entrate.</w:t>
      </w:r>
    </w:p>
    <w:p w14:paraId="5D142ADA" w14:textId="77777777" w:rsidR="00A938CC" w:rsidRDefault="00A938CC" w:rsidP="00A938CC">
      <w:pPr>
        <w:widowControl w:val="0"/>
        <w:spacing w:before="120" w:line="320" w:lineRule="exact"/>
        <w:jc w:val="both"/>
        <w:rPr>
          <w:rFonts w:ascii="Verdana" w:hAnsi="Verdana" w:cs="Verdana"/>
          <w:sz w:val="20"/>
          <w:szCs w:val="20"/>
        </w:rPr>
      </w:pPr>
      <w:r>
        <w:rPr>
          <w:rFonts w:ascii="Verdana" w:hAnsi="Verdana" w:cs="Verdana"/>
          <w:sz w:val="20"/>
          <w:szCs w:val="20"/>
        </w:rPr>
        <w:t>10. Alle operazioni di incasso verranno applicate le commissioni indicate nell’offerta economica (qui riprodotte nell’Allegato A alla presente convenzione) e le valute e le condizioni previste dalla</w:t>
      </w:r>
      <w:r>
        <w:rPr>
          <w:rFonts w:ascii="Verdana" w:hAnsi="Verdana" w:cs="Verdana"/>
          <w:b/>
          <w:bCs/>
          <w:sz w:val="20"/>
          <w:szCs w:val="20"/>
        </w:rPr>
        <w:t xml:space="preserve"> </w:t>
      </w:r>
      <w:r>
        <w:rPr>
          <w:rFonts w:ascii="Verdana" w:hAnsi="Verdana" w:cs="Verdana"/>
          <w:sz w:val="20"/>
          <w:szCs w:val="20"/>
        </w:rPr>
        <w:t>D</w:t>
      </w:r>
      <w:r>
        <w:rPr>
          <w:rStyle w:val="Enfasigrassetto"/>
          <w:rFonts w:ascii="Verdana" w:hAnsi="Verdana" w:cs="Verdana"/>
          <w:b w:val="0"/>
          <w:bCs w:val="0"/>
          <w:color w:val="000000"/>
          <w:sz w:val="20"/>
          <w:szCs w:val="20"/>
        </w:rPr>
        <w:t>irettiva europea 2007/64/CE sui sistemi di pagamento PSD,</w:t>
      </w:r>
      <w:r>
        <w:rPr>
          <w:rFonts w:ascii="Verdana" w:hAnsi="Verdana" w:cs="Verdana"/>
          <w:color w:val="000000"/>
          <w:sz w:val="20"/>
          <w:szCs w:val="20"/>
        </w:rPr>
        <w:t xml:space="preserve"> recepita nel nostro ordinamento con il </w:t>
      </w:r>
      <w:proofErr w:type="spellStart"/>
      <w:r>
        <w:rPr>
          <w:rFonts w:ascii="Verdana" w:hAnsi="Verdana" w:cs="Verdana"/>
          <w:color w:val="000000"/>
          <w:sz w:val="20"/>
          <w:szCs w:val="20"/>
        </w:rPr>
        <w:t>D.lgs</w:t>
      </w:r>
      <w:proofErr w:type="spellEnd"/>
      <w:r>
        <w:rPr>
          <w:rFonts w:ascii="Verdana" w:hAnsi="Verdana" w:cs="Verdana"/>
          <w:color w:val="000000"/>
          <w:sz w:val="20"/>
          <w:szCs w:val="20"/>
        </w:rPr>
        <w:t xml:space="preserve"> N. 11 del 27 gennaio 2010</w:t>
      </w:r>
      <w:r>
        <w:rPr>
          <w:rFonts w:ascii="Verdana" w:hAnsi="Verdana" w:cs="Verdana"/>
          <w:sz w:val="20"/>
          <w:szCs w:val="20"/>
        </w:rPr>
        <w:t>, integrate da quanto indicato nell’Allegato B.</w:t>
      </w:r>
    </w:p>
    <w:p w14:paraId="69BCE6E0" w14:textId="77777777" w:rsidR="00A938CC" w:rsidRDefault="00A938CC" w:rsidP="00A938CC">
      <w:pPr>
        <w:widowControl w:val="0"/>
        <w:spacing w:before="120" w:line="320" w:lineRule="exact"/>
        <w:jc w:val="both"/>
        <w:rPr>
          <w:rFonts w:ascii="Verdana" w:hAnsi="Verdana" w:cs="Verdana"/>
          <w:b/>
          <w:bCs/>
          <w:sz w:val="20"/>
          <w:szCs w:val="20"/>
        </w:rPr>
      </w:pPr>
      <w:r>
        <w:rPr>
          <w:rFonts w:ascii="Verdana" w:hAnsi="Verdana" w:cs="Verdana"/>
          <w:b/>
          <w:bCs/>
          <w:sz w:val="20"/>
          <w:szCs w:val="20"/>
        </w:rPr>
        <w:t>ART. 6 CRITERI DI UTILIZZO DELLE GIACENZE PER L’ESECUZIONE DEI PAGAMENTI</w:t>
      </w:r>
    </w:p>
    <w:p w14:paraId="0EF21EFB" w14:textId="77777777" w:rsidR="00A938CC" w:rsidRDefault="00A938CC" w:rsidP="00A938CC">
      <w:pPr>
        <w:widowControl w:val="0"/>
        <w:spacing w:before="120" w:line="320" w:lineRule="exact"/>
        <w:jc w:val="both"/>
        <w:rPr>
          <w:rFonts w:ascii="Verdana" w:hAnsi="Verdana" w:cs="Verdana"/>
          <w:sz w:val="20"/>
          <w:szCs w:val="20"/>
        </w:rPr>
      </w:pPr>
      <w:r>
        <w:rPr>
          <w:rFonts w:ascii="Verdana" w:hAnsi="Verdana" w:cs="Verdana"/>
          <w:sz w:val="20"/>
          <w:szCs w:val="20"/>
        </w:rPr>
        <w:t>1. Ai sensi della legge e fatte salve le disposizioni concernenti l’utilizzo di importi a specifica destinazione, le somme giacenti presso il Tesoriere, devono essere prioritariamente utilizzate per l’effettuazione dei pagamenti di cui al presente articolo.</w:t>
      </w:r>
    </w:p>
    <w:p w14:paraId="799B4378" w14:textId="77777777" w:rsidR="00A938CC" w:rsidRDefault="00A938CC" w:rsidP="00A938CC">
      <w:pPr>
        <w:widowControl w:val="0"/>
        <w:spacing w:before="120" w:line="320" w:lineRule="exact"/>
        <w:jc w:val="both"/>
        <w:rPr>
          <w:rFonts w:ascii="Verdana" w:hAnsi="Verdana" w:cs="Verdana"/>
          <w:sz w:val="20"/>
          <w:szCs w:val="20"/>
        </w:rPr>
      </w:pPr>
      <w:r>
        <w:rPr>
          <w:rFonts w:ascii="Verdana" w:hAnsi="Verdana" w:cs="Verdana"/>
          <w:sz w:val="20"/>
          <w:szCs w:val="20"/>
        </w:rPr>
        <w:t>2. Ai fini del rispetto del principio di cui al precedente comma, l’Ente ed il Tesoriere adottano la seguente metodologia: l’effettuazione dei pagamenti ha luogo mediante il prioritario utilizzo delle somme libere; in assenza totale o parziale di dette somme, il pagamento viene eseguito a valere sulle anticipazioni ed affidamenti accordati.</w:t>
      </w:r>
    </w:p>
    <w:p w14:paraId="54784CF3" w14:textId="77777777" w:rsidR="00A938CC" w:rsidRDefault="00A938CC" w:rsidP="00A938CC">
      <w:pPr>
        <w:widowControl w:val="0"/>
        <w:spacing w:before="120" w:line="320" w:lineRule="exact"/>
        <w:jc w:val="both"/>
        <w:rPr>
          <w:rFonts w:ascii="Verdana" w:hAnsi="Verdana" w:cs="Verdana"/>
          <w:sz w:val="20"/>
          <w:szCs w:val="20"/>
        </w:rPr>
      </w:pPr>
    </w:p>
    <w:p w14:paraId="2AF0FE1A" w14:textId="77777777" w:rsidR="0036246A" w:rsidRDefault="0036246A" w:rsidP="00A938CC">
      <w:pPr>
        <w:widowControl w:val="0"/>
        <w:spacing w:before="120" w:line="320" w:lineRule="exact"/>
        <w:jc w:val="both"/>
        <w:rPr>
          <w:rFonts w:ascii="Verdana" w:hAnsi="Verdana" w:cs="Verdana"/>
          <w:b/>
          <w:bCs/>
          <w:sz w:val="20"/>
          <w:szCs w:val="20"/>
        </w:rPr>
      </w:pPr>
    </w:p>
    <w:p w14:paraId="262CF7F2" w14:textId="77777777" w:rsidR="00A938CC" w:rsidRDefault="00A938CC" w:rsidP="0036246A">
      <w:pPr>
        <w:widowControl w:val="0"/>
        <w:spacing w:before="120" w:line="276" w:lineRule="auto"/>
        <w:jc w:val="both"/>
        <w:rPr>
          <w:rFonts w:ascii="Verdana" w:hAnsi="Verdana" w:cs="Verdana"/>
          <w:b/>
          <w:bCs/>
          <w:sz w:val="20"/>
          <w:szCs w:val="20"/>
        </w:rPr>
      </w:pPr>
      <w:r>
        <w:rPr>
          <w:rFonts w:ascii="Verdana" w:hAnsi="Verdana" w:cs="Verdana"/>
          <w:b/>
          <w:bCs/>
          <w:sz w:val="20"/>
          <w:szCs w:val="20"/>
        </w:rPr>
        <w:lastRenderedPageBreak/>
        <w:t>ART. 7 AFFIDAMENTI</w:t>
      </w:r>
    </w:p>
    <w:p w14:paraId="2630C772" w14:textId="77777777" w:rsidR="00A938CC" w:rsidRDefault="00A938CC" w:rsidP="0036246A">
      <w:pPr>
        <w:widowControl w:val="0"/>
        <w:spacing w:before="120" w:line="276" w:lineRule="auto"/>
        <w:jc w:val="both"/>
        <w:rPr>
          <w:rFonts w:ascii="Verdana" w:hAnsi="Verdana" w:cs="Verdana"/>
          <w:b/>
          <w:bCs/>
          <w:sz w:val="20"/>
          <w:szCs w:val="20"/>
        </w:rPr>
      </w:pPr>
      <w:r>
        <w:rPr>
          <w:rFonts w:ascii="Verdana" w:hAnsi="Verdana" w:cs="Verdana"/>
          <w:b/>
          <w:bCs/>
          <w:sz w:val="20"/>
          <w:szCs w:val="20"/>
        </w:rPr>
        <w:t>Affidamenti in scoperto di conto corrente e anticipazioni di cassa.</w:t>
      </w:r>
    </w:p>
    <w:p w14:paraId="386033A9" w14:textId="77777777" w:rsidR="00A938CC" w:rsidRDefault="00A938CC" w:rsidP="0036246A">
      <w:pPr>
        <w:widowControl w:val="0"/>
        <w:spacing w:before="120" w:line="276" w:lineRule="auto"/>
        <w:jc w:val="both"/>
        <w:rPr>
          <w:rFonts w:ascii="Verdana" w:hAnsi="Verdana" w:cs="Verdana"/>
          <w:sz w:val="20"/>
          <w:szCs w:val="20"/>
        </w:rPr>
      </w:pPr>
      <w:r>
        <w:rPr>
          <w:rFonts w:ascii="Verdana" w:hAnsi="Verdana" w:cs="Verdana"/>
          <w:sz w:val="20"/>
          <w:szCs w:val="20"/>
        </w:rPr>
        <w:t>1. Il tesoriere, su richiesta dell’Ente, concede allo stesso un affidamento per elasticità di cassa, utilizzabile mediante scoperto di conto corrente o anticipazioni a termine, fino ad un ammontare complessivo di massimo € 4.000.000,00.</w:t>
      </w:r>
    </w:p>
    <w:p w14:paraId="0AE89508" w14:textId="6AF56A98" w:rsidR="00A938CC" w:rsidRDefault="00A938CC" w:rsidP="0036246A">
      <w:pPr>
        <w:widowControl w:val="0"/>
        <w:spacing w:before="120" w:line="276" w:lineRule="auto"/>
        <w:jc w:val="both"/>
        <w:rPr>
          <w:rFonts w:ascii="Verdana" w:hAnsi="Verdana" w:cs="Verdana"/>
          <w:sz w:val="20"/>
          <w:szCs w:val="20"/>
        </w:rPr>
      </w:pPr>
      <w:r>
        <w:rPr>
          <w:rFonts w:ascii="Verdana" w:hAnsi="Verdana" w:cs="Verdana"/>
          <w:sz w:val="20"/>
          <w:szCs w:val="20"/>
        </w:rPr>
        <w:t>2. Con riguardo alle sole somme utilizzate, l’Ente corrisponderà gli interessi calcolati ad un tasso pari all’EURIBOR a tre mesi, con divisore 365 gg., media mese precedente, maggiorato dello spread indicato nell’offerta economica e qui riprodotto nell’Allegato A alla presente convenzione. Sulle somme utilizzate non verranno applicate commissioni di qualsiasi natura. La liquidazione degli interessi avrà luogo trimestralmente, al termine di ogni trimestre solare.</w:t>
      </w:r>
    </w:p>
    <w:p w14:paraId="6F409F69" w14:textId="0FD4A3C0" w:rsidR="00A938CC" w:rsidRDefault="00A938CC" w:rsidP="0036246A">
      <w:pPr>
        <w:widowControl w:val="0"/>
        <w:spacing w:before="120" w:line="276" w:lineRule="auto"/>
        <w:jc w:val="both"/>
        <w:rPr>
          <w:rFonts w:ascii="Verdana" w:hAnsi="Verdana" w:cs="Verdana"/>
          <w:sz w:val="20"/>
          <w:szCs w:val="20"/>
        </w:rPr>
      </w:pPr>
      <w:r>
        <w:rPr>
          <w:rFonts w:ascii="Verdana" w:hAnsi="Verdana" w:cs="Verdana"/>
          <w:sz w:val="20"/>
          <w:szCs w:val="20"/>
        </w:rPr>
        <w:t>3. In caso di cessazione, per qualsiasi motivo, del servizio, l’Ente estingue immediatamente l’esposizione debitoria derivante da eventuali anticipazioni di tesoreria, facendo rilevare dal Tesoriere subentrante, all’atto del conferimento dell’incarico, le anzidette esposizioni, nonché facendogli assumere tutti gli obblighi inerenti ad eventuali impegni di firma rilasciati nell’interesse dell’Ente.</w:t>
      </w:r>
    </w:p>
    <w:p w14:paraId="1D307B01" w14:textId="77777777" w:rsidR="00A938CC" w:rsidRDefault="00A938CC" w:rsidP="0036246A">
      <w:pPr>
        <w:widowControl w:val="0"/>
        <w:spacing w:before="120" w:line="276" w:lineRule="auto"/>
        <w:jc w:val="both"/>
        <w:rPr>
          <w:rFonts w:ascii="Verdana" w:hAnsi="Verdana" w:cs="Verdana"/>
          <w:b/>
          <w:bCs/>
          <w:sz w:val="20"/>
          <w:szCs w:val="20"/>
        </w:rPr>
      </w:pPr>
      <w:r>
        <w:rPr>
          <w:rFonts w:ascii="Verdana" w:hAnsi="Verdana" w:cs="Verdana"/>
          <w:b/>
          <w:bCs/>
          <w:sz w:val="20"/>
          <w:szCs w:val="20"/>
        </w:rPr>
        <w:t>Fideiussioni</w:t>
      </w:r>
    </w:p>
    <w:p w14:paraId="67EB9294" w14:textId="77777777" w:rsidR="00A938CC" w:rsidRDefault="00A938CC" w:rsidP="0036246A">
      <w:pPr>
        <w:widowControl w:val="0"/>
        <w:spacing w:before="120" w:line="276" w:lineRule="auto"/>
        <w:jc w:val="both"/>
        <w:rPr>
          <w:rFonts w:ascii="Verdana" w:hAnsi="Verdana" w:cs="Verdana"/>
          <w:sz w:val="20"/>
          <w:szCs w:val="20"/>
        </w:rPr>
      </w:pPr>
      <w:r>
        <w:rPr>
          <w:rFonts w:ascii="Verdana" w:hAnsi="Verdana" w:cs="Verdana"/>
          <w:sz w:val="20"/>
          <w:szCs w:val="20"/>
        </w:rPr>
        <w:t xml:space="preserve">4. Il Tesoriere, su richiesta dell’Ente, rilascerà garanzie </w:t>
      </w:r>
      <w:proofErr w:type="spellStart"/>
      <w:r>
        <w:rPr>
          <w:rFonts w:ascii="Verdana" w:hAnsi="Verdana" w:cs="Verdana"/>
          <w:sz w:val="20"/>
          <w:szCs w:val="20"/>
        </w:rPr>
        <w:t>fidejussorie</w:t>
      </w:r>
      <w:proofErr w:type="spellEnd"/>
      <w:r>
        <w:rPr>
          <w:rFonts w:ascii="Verdana" w:hAnsi="Verdana" w:cs="Verdana"/>
          <w:sz w:val="20"/>
          <w:szCs w:val="20"/>
        </w:rPr>
        <w:t xml:space="preserve"> – anche a prima richiesta - a favore dei terzi creditori e nell’interesse dell’ente stesso, fino al complessivo importo di € 2.000.000,00.</w:t>
      </w:r>
    </w:p>
    <w:p w14:paraId="1CF47E79" w14:textId="7A50FBB1" w:rsidR="00A938CC" w:rsidRDefault="00A938CC" w:rsidP="0036246A">
      <w:pPr>
        <w:widowControl w:val="0"/>
        <w:spacing w:before="120" w:line="276" w:lineRule="auto"/>
        <w:jc w:val="both"/>
        <w:rPr>
          <w:rFonts w:ascii="Verdana" w:hAnsi="Verdana" w:cs="Verdana"/>
          <w:sz w:val="20"/>
          <w:szCs w:val="20"/>
        </w:rPr>
      </w:pPr>
      <w:r>
        <w:rPr>
          <w:rFonts w:ascii="Verdana" w:hAnsi="Verdana" w:cs="Verdana"/>
          <w:sz w:val="20"/>
          <w:szCs w:val="20"/>
        </w:rPr>
        <w:t>5. A fronte del rilascio delle fidejussioni, l’Ente corrisponderà esclusivamente la commissione indicata nell’offerta economica e qui riprodotta nell’Allegato A alla presente convenzione.</w:t>
      </w:r>
    </w:p>
    <w:p w14:paraId="6AA49A28" w14:textId="77777777" w:rsidR="00A938CC" w:rsidRDefault="00A938CC" w:rsidP="0036246A">
      <w:pPr>
        <w:widowControl w:val="0"/>
        <w:spacing w:before="120" w:line="276" w:lineRule="auto"/>
        <w:jc w:val="both"/>
        <w:rPr>
          <w:rFonts w:ascii="Verdana" w:hAnsi="Verdana" w:cs="Verdana"/>
          <w:b/>
          <w:bCs/>
          <w:sz w:val="20"/>
          <w:szCs w:val="20"/>
        </w:rPr>
      </w:pPr>
      <w:r>
        <w:rPr>
          <w:rFonts w:ascii="Verdana" w:hAnsi="Verdana" w:cs="Verdana"/>
          <w:b/>
          <w:bCs/>
          <w:sz w:val="20"/>
          <w:szCs w:val="20"/>
        </w:rPr>
        <w:t>ART. 8 AMMINISTRAZIONE TITOLI E VALORI IN DEPOSITO</w:t>
      </w:r>
    </w:p>
    <w:p w14:paraId="47BAE532" w14:textId="77777777" w:rsidR="00A938CC" w:rsidRDefault="00A938CC" w:rsidP="0036246A">
      <w:pPr>
        <w:widowControl w:val="0"/>
        <w:spacing w:before="120" w:line="276" w:lineRule="auto"/>
        <w:jc w:val="both"/>
        <w:rPr>
          <w:rFonts w:ascii="Verdana" w:hAnsi="Verdana" w:cs="Verdana"/>
          <w:sz w:val="20"/>
          <w:szCs w:val="20"/>
        </w:rPr>
      </w:pPr>
      <w:r>
        <w:rPr>
          <w:rFonts w:ascii="Verdana" w:hAnsi="Verdana" w:cs="Verdana"/>
          <w:sz w:val="20"/>
          <w:szCs w:val="20"/>
        </w:rPr>
        <w:t>1. Il Tesoriere cura il servizio depositi di titoli, di cauzioni ed altri valori di proprietà dell’Ente.</w:t>
      </w:r>
    </w:p>
    <w:p w14:paraId="67F781E2" w14:textId="77777777" w:rsidR="00A938CC" w:rsidRDefault="00A938CC" w:rsidP="0036246A">
      <w:pPr>
        <w:widowControl w:val="0"/>
        <w:spacing w:before="120" w:line="276" w:lineRule="auto"/>
        <w:jc w:val="both"/>
        <w:rPr>
          <w:rFonts w:ascii="Verdana" w:hAnsi="Verdana" w:cs="Verdana"/>
          <w:sz w:val="20"/>
          <w:szCs w:val="20"/>
        </w:rPr>
      </w:pPr>
      <w:r>
        <w:rPr>
          <w:rFonts w:ascii="Verdana" w:hAnsi="Verdana" w:cs="Verdana"/>
          <w:sz w:val="20"/>
          <w:szCs w:val="20"/>
        </w:rPr>
        <w:t>2. Il Tesoriere dovrà curare la riscossione, alle scadenze stabilite, degli interessi maturati sui titoli pubblici o privati.</w:t>
      </w:r>
    </w:p>
    <w:p w14:paraId="1D3EA953" w14:textId="77777777" w:rsidR="00A938CC" w:rsidRDefault="00A938CC" w:rsidP="0036246A">
      <w:pPr>
        <w:widowControl w:val="0"/>
        <w:spacing w:before="120" w:line="276" w:lineRule="auto"/>
        <w:jc w:val="both"/>
        <w:rPr>
          <w:rFonts w:ascii="Verdana" w:hAnsi="Verdana" w:cs="Verdana"/>
          <w:sz w:val="20"/>
          <w:szCs w:val="20"/>
        </w:rPr>
      </w:pPr>
      <w:r>
        <w:rPr>
          <w:rFonts w:ascii="Verdana" w:hAnsi="Verdana" w:cs="Verdana"/>
          <w:sz w:val="20"/>
          <w:szCs w:val="20"/>
        </w:rPr>
        <w:t>3. Alle stesse condizioni, saranno altresì custoditi ed amministrati i titoli ed i valori depositati da terzi per cauzioni a favore dell’Ente, con l’obbligo di non procedere alla restituzione degli stessi senza regolari ordini dell’Ente comunicati per iscritto e sottoscritti dalle persone autorizzate a firmare gli ordinativi di pagamento.</w:t>
      </w:r>
    </w:p>
    <w:p w14:paraId="07F2900D" w14:textId="77777777" w:rsidR="00A938CC" w:rsidRDefault="00A938CC" w:rsidP="0036246A">
      <w:pPr>
        <w:widowControl w:val="0"/>
        <w:spacing w:before="120" w:line="276" w:lineRule="auto"/>
        <w:jc w:val="both"/>
        <w:rPr>
          <w:rFonts w:ascii="Verdana" w:hAnsi="Verdana" w:cs="Verdana"/>
          <w:b/>
          <w:bCs/>
          <w:sz w:val="20"/>
          <w:szCs w:val="20"/>
        </w:rPr>
      </w:pPr>
      <w:r>
        <w:rPr>
          <w:rFonts w:ascii="Verdana" w:hAnsi="Verdana" w:cs="Verdana"/>
          <w:b/>
          <w:bCs/>
          <w:sz w:val="20"/>
          <w:szCs w:val="20"/>
        </w:rPr>
        <w:t>ART. 9 ADEMPIMENTI CONTABILI DEL TESORIERE</w:t>
      </w:r>
    </w:p>
    <w:p w14:paraId="7F8CED5A" w14:textId="77777777" w:rsidR="00A938CC" w:rsidRDefault="00A938CC" w:rsidP="0036246A">
      <w:pPr>
        <w:widowControl w:val="0"/>
        <w:spacing w:before="120" w:line="276" w:lineRule="auto"/>
        <w:jc w:val="both"/>
        <w:rPr>
          <w:rFonts w:ascii="Verdana" w:hAnsi="Verdana" w:cs="Verdana"/>
          <w:sz w:val="20"/>
          <w:szCs w:val="20"/>
        </w:rPr>
      </w:pPr>
      <w:r>
        <w:rPr>
          <w:rFonts w:ascii="Verdana" w:hAnsi="Verdana" w:cs="Verdana"/>
          <w:sz w:val="20"/>
          <w:szCs w:val="20"/>
        </w:rPr>
        <w:t>1. Il Tesoriere invia all’Ente, con periodicità mensile, l’estratto conto. Inoltre, rende disponibili i dati necessari per le verifiche di cassa.</w:t>
      </w:r>
    </w:p>
    <w:p w14:paraId="5C7AA375" w14:textId="77777777" w:rsidR="00A938CC" w:rsidRDefault="00A938CC" w:rsidP="0036246A">
      <w:pPr>
        <w:widowControl w:val="0"/>
        <w:spacing w:before="120" w:line="276" w:lineRule="auto"/>
        <w:jc w:val="both"/>
        <w:rPr>
          <w:rFonts w:ascii="Verdana" w:hAnsi="Verdana" w:cs="Verdana"/>
          <w:sz w:val="20"/>
          <w:szCs w:val="20"/>
        </w:rPr>
      </w:pPr>
      <w:r>
        <w:rPr>
          <w:rFonts w:ascii="Verdana" w:hAnsi="Verdana" w:cs="Verdana"/>
          <w:sz w:val="20"/>
          <w:szCs w:val="20"/>
        </w:rPr>
        <w:t>2. Nel rispetto delle relative norme di legge, il Tesoriere provvede alla compilazione e trasmissione alle Autorità competenti dei dati periodici della gestione di cassa; lo stesso provvede, altresì, alla consegna all’Ente di tali dati.</w:t>
      </w:r>
    </w:p>
    <w:p w14:paraId="67DDB2D1" w14:textId="77777777" w:rsidR="00A938CC" w:rsidRDefault="00A938CC" w:rsidP="0036246A">
      <w:pPr>
        <w:widowControl w:val="0"/>
        <w:spacing w:before="120" w:line="276" w:lineRule="auto"/>
        <w:jc w:val="both"/>
        <w:rPr>
          <w:rFonts w:ascii="Verdana" w:hAnsi="Verdana" w:cs="Verdana"/>
          <w:b/>
          <w:bCs/>
          <w:sz w:val="20"/>
          <w:szCs w:val="20"/>
        </w:rPr>
      </w:pPr>
      <w:r>
        <w:rPr>
          <w:rFonts w:ascii="Verdana" w:hAnsi="Verdana" w:cs="Verdana"/>
          <w:b/>
          <w:bCs/>
          <w:sz w:val="20"/>
          <w:szCs w:val="20"/>
        </w:rPr>
        <w:t>ART. 10 VERIFICHE ED ISPEZIONI</w:t>
      </w:r>
    </w:p>
    <w:p w14:paraId="3F21EAAC" w14:textId="77777777" w:rsidR="00A938CC" w:rsidRDefault="00A938CC" w:rsidP="0036246A">
      <w:pPr>
        <w:widowControl w:val="0"/>
        <w:spacing w:before="120" w:line="276" w:lineRule="auto"/>
        <w:jc w:val="both"/>
        <w:rPr>
          <w:rFonts w:ascii="Verdana" w:hAnsi="Verdana" w:cs="Verdana"/>
          <w:sz w:val="20"/>
          <w:szCs w:val="20"/>
        </w:rPr>
      </w:pPr>
      <w:r>
        <w:rPr>
          <w:rFonts w:ascii="Verdana" w:hAnsi="Verdana" w:cs="Verdana"/>
          <w:sz w:val="20"/>
          <w:szCs w:val="20"/>
        </w:rPr>
        <w:t>1. L’Ente ha diritto di procedere a verifiche di cassa ordinarie e straordinarie e dei valori dati in custodia, ogni qualvolta lo ritenga necessario ed opportuno. Il Tesoriere deve all’uopo esibire, ad ogni richiesta, i registri, i bollettari e tutte le carte contabili relative alla gestione della tesoreria.</w:t>
      </w:r>
    </w:p>
    <w:p w14:paraId="13348DCC" w14:textId="77777777" w:rsidR="00A938CC" w:rsidRDefault="00A938CC" w:rsidP="0036246A">
      <w:pPr>
        <w:widowControl w:val="0"/>
        <w:spacing w:before="120" w:line="276" w:lineRule="auto"/>
        <w:jc w:val="both"/>
        <w:rPr>
          <w:rFonts w:ascii="Verdana" w:hAnsi="Verdana" w:cs="Verdana"/>
          <w:sz w:val="20"/>
          <w:szCs w:val="20"/>
        </w:rPr>
      </w:pPr>
      <w:r>
        <w:rPr>
          <w:rFonts w:ascii="Verdana" w:hAnsi="Verdana" w:cs="Verdana"/>
          <w:sz w:val="20"/>
          <w:szCs w:val="20"/>
        </w:rPr>
        <w:lastRenderedPageBreak/>
        <w:t>2. Gli incaricati della funzione del controllo contabile dell’Ente, hanno accesso ai documenti relativi alla gestione del servizio di tesoreria: di conseguenza, previa comunicazione da parte dell’Ente dei nominativi dei suddetti soggetti, questi ultimi possono effettuare sopralluoghi presso gli uffici ove si svolge il servizio di tesoreria.</w:t>
      </w:r>
    </w:p>
    <w:p w14:paraId="62307F42" w14:textId="77777777" w:rsidR="00A938CC" w:rsidRDefault="00A938CC" w:rsidP="0036246A">
      <w:pPr>
        <w:widowControl w:val="0"/>
        <w:spacing w:before="120" w:line="276" w:lineRule="auto"/>
        <w:jc w:val="both"/>
        <w:rPr>
          <w:rFonts w:ascii="Verdana" w:hAnsi="Verdana" w:cs="Verdana"/>
          <w:b/>
          <w:bCs/>
          <w:sz w:val="20"/>
          <w:szCs w:val="20"/>
        </w:rPr>
      </w:pPr>
      <w:r>
        <w:rPr>
          <w:rFonts w:ascii="Verdana" w:hAnsi="Verdana" w:cs="Verdana"/>
          <w:b/>
          <w:bCs/>
          <w:sz w:val="20"/>
          <w:szCs w:val="20"/>
        </w:rPr>
        <w:t>ART. 11 CONDIZIONI ECONOMICHE: INTERESSI E COMMISSIONI</w:t>
      </w:r>
    </w:p>
    <w:p w14:paraId="798EF0FF" w14:textId="77777777" w:rsidR="00A938CC" w:rsidRDefault="00A938CC" w:rsidP="0036246A">
      <w:pPr>
        <w:widowControl w:val="0"/>
        <w:spacing w:before="120" w:line="276" w:lineRule="auto"/>
        <w:jc w:val="both"/>
        <w:rPr>
          <w:rFonts w:ascii="Verdana" w:hAnsi="Verdana" w:cs="Verdana"/>
          <w:sz w:val="20"/>
          <w:szCs w:val="20"/>
        </w:rPr>
      </w:pPr>
      <w:r>
        <w:rPr>
          <w:rFonts w:ascii="Verdana" w:hAnsi="Verdana" w:cs="Verdana"/>
          <w:sz w:val="20"/>
          <w:szCs w:val="20"/>
        </w:rPr>
        <w:t xml:space="preserve">1. Su eventuali giacenze sui conti correnti di corrispondenza il Tesoriere riconoscerà interessi al tasso di interesse pari all’EURIBOR a 3 mesi, con divisore 365, media mese precedente vigente tempo per tempo, aumentato o diminuito dello </w:t>
      </w:r>
      <w:proofErr w:type="gramStart"/>
      <w:r>
        <w:rPr>
          <w:rFonts w:ascii="Verdana" w:hAnsi="Verdana" w:cs="Verdana"/>
          <w:sz w:val="20"/>
          <w:szCs w:val="20"/>
        </w:rPr>
        <w:t>spread  indicato</w:t>
      </w:r>
      <w:proofErr w:type="gramEnd"/>
      <w:r>
        <w:rPr>
          <w:rFonts w:ascii="Verdana" w:hAnsi="Verdana" w:cs="Verdana"/>
          <w:sz w:val="20"/>
          <w:szCs w:val="20"/>
        </w:rPr>
        <w:t xml:space="preserve"> nell’offerta economica e qui riprodotto nell’Allegato A alla presente convenzione.</w:t>
      </w:r>
    </w:p>
    <w:p w14:paraId="7BC067A9" w14:textId="77777777" w:rsidR="00A938CC" w:rsidRDefault="00A938CC" w:rsidP="0036246A">
      <w:pPr>
        <w:widowControl w:val="0"/>
        <w:spacing w:before="120" w:line="276" w:lineRule="auto"/>
        <w:jc w:val="both"/>
        <w:rPr>
          <w:rFonts w:ascii="Verdana" w:hAnsi="Verdana" w:cs="Verdana"/>
          <w:sz w:val="20"/>
          <w:szCs w:val="20"/>
        </w:rPr>
      </w:pPr>
      <w:r>
        <w:rPr>
          <w:rFonts w:ascii="Verdana" w:hAnsi="Verdana" w:cs="Verdana"/>
          <w:sz w:val="20"/>
          <w:szCs w:val="20"/>
        </w:rPr>
        <w:t>2. I tassi debitori e creditori si intendono senza applicazione di spese o commissioni aggiuntive.</w:t>
      </w:r>
    </w:p>
    <w:p w14:paraId="1F55B682" w14:textId="77777777" w:rsidR="00A938CC" w:rsidRDefault="00A938CC" w:rsidP="0036246A">
      <w:pPr>
        <w:widowControl w:val="0"/>
        <w:spacing w:before="120" w:line="276" w:lineRule="auto"/>
        <w:jc w:val="both"/>
        <w:rPr>
          <w:rFonts w:ascii="Verdana" w:hAnsi="Verdana" w:cs="Verdana"/>
          <w:sz w:val="20"/>
          <w:szCs w:val="20"/>
        </w:rPr>
      </w:pPr>
      <w:r>
        <w:rPr>
          <w:rFonts w:ascii="Verdana" w:hAnsi="Verdana" w:cs="Verdana"/>
          <w:sz w:val="20"/>
          <w:szCs w:val="20"/>
        </w:rPr>
        <w:t>3. Per la tenuta dei conti correnti e per i servizi di incasso e pagamento cui alla presente convenzione al Tesoriere spetta unicamente il corrispettivo indicato all’art. 2, co. 4, della presente convenzione.</w:t>
      </w:r>
    </w:p>
    <w:p w14:paraId="3647534C" w14:textId="77777777" w:rsidR="00A938CC" w:rsidRDefault="00A938CC" w:rsidP="0036246A">
      <w:pPr>
        <w:widowControl w:val="0"/>
        <w:spacing w:before="120" w:line="276" w:lineRule="auto"/>
        <w:jc w:val="both"/>
        <w:rPr>
          <w:rFonts w:ascii="Verdana" w:hAnsi="Verdana" w:cs="Verdana"/>
          <w:sz w:val="20"/>
          <w:szCs w:val="20"/>
        </w:rPr>
      </w:pPr>
      <w:r>
        <w:rPr>
          <w:rFonts w:ascii="Verdana" w:hAnsi="Verdana" w:cs="Verdana"/>
          <w:sz w:val="20"/>
          <w:szCs w:val="20"/>
        </w:rPr>
        <w:t>4. Per la riscossione dei versamenti relativi agli incassi, il Tesoriere non applica alcuna commissione di incasso agli utenti stessi, né all’ente.</w:t>
      </w:r>
    </w:p>
    <w:p w14:paraId="69535BAE" w14:textId="77777777" w:rsidR="00A938CC" w:rsidRDefault="00A938CC" w:rsidP="0036246A">
      <w:pPr>
        <w:widowControl w:val="0"/>
        <w:spacing w:before="120" w:line="276" w:lineRule="auto"/>
        <w:jc w:val="both"/>
        <w:rPr>
          <w:rFonts w:ascii="Verdana" w:hAnsi="Verdana" w:cs="Verdana"/>
          <w:b/>
          <w:bCs/>
          <w:sz w:val="20"/>
          <w:szCs w:val="20"/>
        </w:rPr>
      </w:pPr>
      <w:r>
        <w:rPr>
          <w:rFonts w:ascii="Verdana" w:hAnsi="Verdana" w:cs="Verdana"/>
          <w:b/>
          <w:bCs/>
          <w:sz w:val="20"/>
          <w:szCs w:val="20"/>
        </w:rPr>
        <w:t>ART. 12 ALTRE CONDIZONI PARTICOLARI</w:t>
      </w:r>
    </w:p>
    <w:p w14:paraId="3DF11095" w14:textId="77777777" w:rsidR="00A938CC" w:rsidRDefault="00A938CC" w:rsidP="0036246A">
      <w:pPr>
        <w:widowControl w:val="0"/>
        <w:spacing w:before="120" w:line="276" w:lineRule="auto"/>
        <w:jc w:val="both"/>
        <w:rPr>
          <w:rFonts w:ascii="Verdana" w:hAnsi="Verdana" w:cs="Verdana"/>
          <w:sz w:val="20"/>
          <w:szCs w:val="20"/>
        </w:rPr>
      </w:pPr>
      <w:r>
        <w:rPr>
          <w:rFonts w:ascii="Verdana" w:hAnsi="Verdana" w:cs="Verdana"/>
          <w:sz w:val="20"/>
          <w:szCs w:val="20"/>
        </w:rPr>
        <w:t>1. Il Tesoriere si impegna inoltre a fornire:</w:t>
      </w:r>
    </w:p>
    <w:p w14:paraId="6415ECF5" w14:textId="77777777" w:rsidR="00A938CC" w:rsidRDefault="00A938CC" w:rsidP="0036246A">
      <w:pPr>
        <w:widowControl w:val="0"/>
        <w:spacing w:before="120" w:line="276" w:lineRule="auto"/>
        <w:ind w:left="360" w:hanging="360"/>
        <w:jc w:val="both"/>
        <w:rPr>
          <w:rFonts w:ascii="Verdana" w:hAnsi="Verdana" w:cs="Verdana"/>
          <w:sz w:val="20"/>
          <w:szCs w:val="20"/>
        </w:rPr>
      </w:pPr>
      <w:r>
        <w:rPr>
          <w:rFonts w:ascii="Verdana" w:hAnsi="Verdana" w:cs="Verdana"/>
          <w:sz w:val="20"/>
          <w:szCs w:val="20"/>
        </w:rPr>
        <w:t>a) l’attrezzatura necessaria per la gestione informatica del servizio di tesoreria, in ottemperanza allo standard ABI/CNIPA relativamente allo scambio dei documenti firmati digitalmente.</w:t>
      </w:r>
    </w:p>
    <w:p w14:paraId="38306220" w14:textId="77777777" w:rsidR="00A938CC" w:rsidRDefault="00A938CC" w:rsidP="0036246A">
      <w:pPr>
        <w:widowControl w:val="0"/>
        <w:spacing w:before="120" w:line="276" w:lineRule="auto"/>
        <w:ind w:left="360" w:hanging="360"/>
        <w:jc w:val="both"/>
        <w:rPr>
          <w:rFonts w:ascii="Verdana" w:hAnsi="Verdana" w:cs="Verdana"/>
          <w:sz w:val="20"/>
          <w:szCs w:val="20"/>
        </w:rPr>
      </w:pPr>
      <w:r>
        <w:rPr>
          <w:rFonts w:ascii="Verdana" w:hAnsi="Verdana" w:cs="Verdana"/>
          <w:sz w:val="20"/>
          <w:szCs w:val="20"/>
        </w:rPr>
        <w:t>b) il collegamento telematico Ente/Istituto Tesoriere, senza spese per l’Ente, per lo scambio reciproco di dati;</w:t>
      </w:r>
    </w:p>
    <w:p w14:paraId="3331276A" w14:textId="77777777" w:rsidR="00A938CC" w:rsidRDefault="00A938CC" w:rsidP="0036246A">
      <w:pPr>
        <w:widowControl w:val="0"/>
        <w:spacing w:before="120" w:line="276" w:lineRule="auto"/>
        <w:ind w:left="360" w:hanging="360"/>
        <w:jc w:val="both"/>
        <w:rPr>
          <w:rFonts w:ascii="Verdana" w:hAnsi="Verdana" w:cs="Verdana"/>
          <w:sz w:val="20"/>
          <w:szCs w:val="20"/>
        </w:rPr>
      </w:pPr>
      <w:r>
        <w:rPr>
          <w:rFonts w:ascii="Verdana" w:hAnsi="Verdana" w:cs="Verdana"/>
          <w:sz w:val="20"/>
          <w:szCs w:val="20"/>
        </w:rPr>
        <w:t>c) il servizio di remote banking, con funzioni informative e dispositive per l’accesso in tempo reale agli archivi del conto di tesoreria, consentendo la consultazione dei mandati e reversali quietanzati, delle situazioni giornaliere di cassa, nonché quella relativa alle entrate a specifica destinazione ed all’eventuale utilizzo dell’anticipazione di Tesoreria;</w:t>
      </w:r>
    </w:p>
    <w:p w14:paraId="7FC1D36A" w14:textId="77777777" w:rsidR="00A938CC" w:rsidRDefault="00A938CC" w:rsidP="0036246A">
      <w:pPr>
        <w:widowControl w:val="0"/>
        <w:spacing w:before="120" w:line="276" w:lineRule="auto"/>
        <w:ind w:left="360" w:hanging="360"/>
        <w:jc w:val="both"/>
        <w:rPr>
          <w:rFonts w:ascii="Verdana" w:hAnsi="Verdana" w:cs="Verdana"/>
          <w:sz w:val="20"/>
          <w:szCs w:val="20"/>
        </w:rPr>
      </w:pPr>
      <w:r>
        <w:rPr>
          <w:rFonts w:ascii="Verdana" w:hAnsi="Verdana" w:cs="Verdana"/>
          <w:sz w:val="20"/>
          <w:szCs w:val="20"/>
        </w:rPr>
        <w:t>d) eventuale fornitura di software in comodato gratuito, (qualora il sistema informatico in uso presso gli uffici dell’ente non sia compatibile con il sistema da utilizzare per i servizi di cui sopra) idoneo a svolgere funzioni di collegamento, nonché relative personalizzazioni del software dell’ente per il funzionamento del collegamento telematico e del remote banking;</w:t>
      </w:r>
    </w:p>
    <w:p w14:paraId="101CDFD7" w14:textId="649FF95A" w:rsidR="00A938CC" w:rsidRPr="00A938CC" w:rsidRDefault="00A938CC" w:rsidP="0036246A">
      <w:pPr>
        <w:widowControl w:val="0"/>
        <w:spacing w:before="120" w:line="276" w:lineRule="auto"/>
        <w:ind w:left="360" w:hanging="360"/>
        <w:jc w:val="both"/>
        <w:rPr>
          <w:rFonts w:ascii="Verdana" w:hAnsi="Verdana" w:cs="Verdana"/>
          <w:sz w:val="20"/>
          <w:szCs w:val="20"/>
        </w:rPr>
      </w:pPr>
      <w:r>
        <w:rPr>
          <w:rFonts w:ascii="Verdana" w:hAnsi="Verdana" w:cs="Verdana"/>
          <w:sz w:val="20"/>
          <w:szCs w:val="20"/>
        </w:rPr>
        <w:t>e) formazione a titolo gratuito del personale dell’ente addetto alla gestione del servizio di tesoreria.</w:t>
      </w:r>
    </w:p>
    <w:p w14:paraId="3EC3F267" w14:textId="77777777" w:rsidR="00A938CC" w:rsidRDefault="00A938CC" w:rsidP="0036246A">
      <w:pPr>
        <w:widowControl w:val="0"/>
        <w:spacing w:before="120" w:line="276" w:lineRule="auto"/>
        <w:jc w:val="both"/>
        <w:rPr>
          <w:rFonts w:ascii="Verdana" w:hAnsi="Verdana" w:cs="Verdana"/>
          <w:b/>
          <w:bCs/>
          <w:sz w:val="20"/>
          <w:szCs w:val="20"/>
        </w:rPr>
      </w:pPr>
      <w:r>
        <w:rPr>
          <w:rFonts w:ascii="Verdana" w:hAnsi="Verdana" w:cs="Verdana"/>
          <w:b/>
          <w:bCs/>
          <w:sz w:val="20"/>
          <w:szCs w:val="20"/>
        </w:rPr>
        <w:t>ART. 13 RESPONSABILITA’ DEL TESORIERE</w:t>
      </w:r>
    </w:p>
    <w:p w14:paraId="7E373534" w14:textId="77777777" w:rsidR="00A938CC" w:rsidRDefault="00A938CC" w:rsidP="0036246A">
      <w:pPr>
        <w:widowControl w:val="0"/>
        <w:spacing w:before="120" w:line="276" w:lineRule="auto"/>
        <w:jc w:val="both"/>
        <w:rPr>
          <w:rFonts w:ascii="Verdana" w:hAnsi="Verdana" w:cs="Verdana"/>
          <w:sz w:val="20"/>
          <w:szCs w:val="20"/>
        </w:rPr>
      </w:pPr>
      <w:r>
        <w:rPr>
          <w:rFonts w:ascii="Verdana" w:hAnsi="Verdana" w:cs="Verdana"/>
          <w:sz w:val="20"/>
          <w:szCs w:val="20"/>
        </w:rPr>
        <w:t>1. Il Tesoriere assume la responsabilità di tutti i depositi comunque costituiti, intestati all’Ente.</w:t>
      </w:r>
    </w:p>
    <w:p w14:paraId="2700F94A" w14:textId="77777777" w:rsidR="00A938CC" w:rsidRDefault="00A938CC" w:rsidP="0036246A">
      <w:pPr>
        <w:widowControl w:val="0"/>
        <w:spacing w:before="120" w:line="276" w:lineRule="auto"/>
        <w:jc w:val="both"/>
        <w:rPr>
          <w:rFonts w:ascii="Verdana" w:hAnsi="Verdana" w:cs="Verdana"/>
          <w:sz w:val="20"/>
          <w:szCs w:val="20"/>
        </w:rPr>
      </w:pPr>
      <w:r>
        <w:rPr>
          <w:rFonts w:ascii="Verdana" w:hAnsi="Verdana" w:cs="Verdana"/>
          <w:sz w:val="20"/>
          <w:szCs w:val="20"/>
        </w:rPr>
        <w:t xml:space="preserve">2. Per eventuali danni causati all’Ente o a terzi, per inosservanza degli obblighi di cui alla presente Convenzione, il Tesoriere, a norma dell’art. 211 del D. </w:t>
      </w:r>
      <w:proofErr w:type="spellStart"/>
      <w:r>
        <w:rPr>
          <w:rFonts w:ascii="Verdana" w:hAnsi="Verdana" w:cs="Verdana"/>
          <w:sz w:val="20"/>
          <w:szCs w:val="20"/>
        </w:rPr>
        <w:t>Lgs</w:t>
      </w:r>
      <w:proofErr w:type="spellEnd"/>
      <w:r>
        <w:rPr>
          <w:rFonts w:ascii="Verdana" w:hAnsi="Verdana" w:cs="Verdana"/>
          <w:sz w:val="20"/>
          <w:szCs w:val="20"/>
        </w:rPr>
        <w:t>. 267/2000, risponde, con tutte le proprie attività e con il proprio patrimonio, di ogni somma e valore dallo stesso trattenuti in deposito ed in consegna per conto dell’Ente, nonché per tutte le operazioni comunque attinenti il servizio di tesoreria.</w:t>
      </w:r>
    </w:p>
    <w:p w14:paraId="20FA9E9F" w14:textId="77777777" w:rsidR="0036246A" w:rsidRDefault="0036246A" w:rsidP="0036246A">
      <w:pPr>
        <w:widowControl w:val="0"/>
        <w:spacing w:before="120" w:line="276" w:lineRule="auto"/>
        <w:jc w:val="both"/>
        <w:rPr>
          <w:rFonts w:ascii="Verdana" w:hAnsi="Verdana" w:cs="Verdana"/>
          <w:sz w:val="20"/>
          <w:szCs w:val="20"/>
        </w:rPr>
      </w:pPr>
    </w:p>
    <w:p w14:paraId="49A3F854" w14:textId="77777777" w:rsidR="0036246A" w:rsidRDefault="0036246A" w:rsidP="0036246A">
      <w:pPr>
        <w:widowControl w:val="0"/>
        <w:spacing w:before="120" w:line="276" w:lineRule="auto"/>
        <w:jc w:val="both"/>
        <w:rPr>
          <w:rFonts w:ascii="Verdana" w:hAnsi="Verdana" w:cs="Verdana"/>
          <w:sz w:val="20"/>
          <w:szCs w:val="20"/>
        </w:rPr>
      </w:pPr>
    </w:p>
    <w:p w14:paraId="6B6846D9" w14:textId="77777777" w:rsidR="00A938CC" w:rsidRDefault="00A938CC" w:rsidP="00A938CC">
      <w:pPr>
        <w:widowControl w:val="0"/>
        <w:spacing w:before="120" w:line="360" w:lineRule="auto"/>
        <w:jc w:val="both"/>
        <w:rPr>
          <w:rFonts w:ascii="Verdana" w:hAnsi="Verdana" w:cs="Verdana"/>
          <w:b/>
          <w:bCs/>
          <w:sz w:val="20"/>
          <w:szCs w:val="20"/>
        </w:rPr>
      </w:pPr>
      <w:r>
        <w:rPr>
          <w:rFonts w:ascii="Verdana" w:hAnsi="Verdana" w:cs="Verdana"/>
          <w:b/>
          <w:bCs/>
          <w:sz w:val="20"/>
          <w:szCs w:val="20"/>
        </w:rPr>
        <w:lastRenderedPageBreak/>
        <w:t>ART. 14 DURATA DELLA CONVENZIONE</w:t>
      </w:r>
    </w:p>
    <w:p w14:paraId="1A72F12A" w14:textId="77777777" w:rsidR="00A938CC" w:rsidRDefault="00A938CC" w:rsidP="00A938CC">
      <w:pPr>
        <w:widowControl w:val="0"/>
        <w:spacing w:before="120" w:line="360" w:lineRule="auto"/>
        <w:jc w:val="both"/>
        <w:rPr>
          <w:rFonts w:ascii="Verdana" w:hAnsi="Verdana" w:cs="Verdana"/>
          <w:sz w:val="20"/>
          <w:szCs w:val="20"/>
        </w:rPr>
      </w:pPr>
      <w:r>
        <w:rPr>
          <w:rFonts w:ascii="Verdana" w:hAnsi="Verdana" w:cs="Verdana"/>
          <w:sz w:val="20"/>
          <w:szCs w:val="20"/>
        </w:rPr>
        <w:t xml:space="preserve">L’affidamento oggetto della presente convenzione ha durata dalla data di firma della presente convenzione fino </w:t>
      </w:r>
      <w:proofErr w:type="gramStart"/>
      <w:r>
        <w:rPr>
          <w:rFonts w:ascii="Verdana" w:hAnsi="Verdana" w:cs="Verdana"/>
          <w:sz w:val="20"/>
          <w:szCs w:val="20"/>
        </w:rPr>
        <w:t>al  [</w:t>
      </w:r>
      <w:proofErr w:type="gramEnd"/>
      <w:r>
        <w:rPr>
          <w:rFonts w:ascii="Verdana" w:hAnsi="Verdana" w:cs="Verdana"/>
          <w:sz w:val="20"/>
          <w:szCs w:val="20"/>
        </w:rPr>
        <w:t xml:space="preserve">01/06/2020]. </w:t>
      </w:r>
    </w:p>
    <w:p w14:paraId="469A9553" w14:textId="77777777" w:rsidR="00A938CC" w:rsidRDefault="00A938CC" w:rsidP="00A938CC">
      <w:pPr>
        <w:spacing w:line="360" w:lineRule="auto"/>
        <w:jc w:val="both"/>
        <w:rPr>
          <w:rFonts w:ascii="Verdana" w:hAnsi="Verdana" w:cs="Verdana"/>
          <w:sz w:val="20"/>
          <w:szCs w:val="20"/>
        </w:rPr>
      </w:pPr>
      <w:r>
        <w:rPr>
          <w:rFonts w:ascii="Verdana" w:hAnsi="Verdana" w:cs="Verdana"/>
          <w:sz w:val="20"/>
          <w:szCs w:val="20"/>
        </w:rPr>
        <w:t>AMSC S.p.A. si riserverà altresì, l’opzione di prorogare il contratto per il tempo strettamente necessario alla conclusione delle procedure necessarie per l'individuazione di un nuovo contraente, ai sensi dell’art. 106 D.lgs. n. 50/2016.</w:t>
      </w:r>
    </w:p>
    <w:p w14:paraId="335F6C6B" w14:textId="77777777" w:rsidR="00A938CC" w:rsidRDefault="00A938CC" w:rsidP="00A938CC">
      <w:pPr>
        <w:spacing w:line="360" w:lineRule="auto"/>
        <w:jc w:val="both"/>
        <w:rPr>
          <w:rFonts w:ascii="Verdana" w:hAnsi="Verdana" w:cs="Verdana"/>
          <w:sz w:val="20"/>
          <w:szCs w:val="20"/>
        </w:rPr>
      </w:pPr>
      <w:r>
        <w:rPr>
          <w:rFonts w:ascii="Verdana" w:hAnsi="Verdana" w:cs="Verdana"/>
          <w:sz w:val="20"/>
          <w:szCs w:val="20"/>
        </w:rPr>
        <w:t>In tal caso, il contraente è tenuto all'esecuzione delle prestazioni previste nel contratto agli stessi prezzi, patti e condizioni o più favorevoli per la stazione appaltante. </w:t>
      </w:r>
    </w:p>
    <w:p w14:paraId="6ECF017C" w14:textId="77777777" w:rsidR="00A938CC" w:rsidRDefault="00A938CC" w:rsidP="00A938CC">
      <w:pPr>
        <w:widowControl w:val="0"/>
        <w:spacing w:before="120" w:line="360" w:lineRule="auto"/>
        <w:jc w:val="both"/>
        <w:rPr>
          <w:rFonts w:ascii="Verdana" w:hAnsi="Verdana" w:cs="Verdana"/>
          <w:b/>
          <w:bCs/>
          <w:sz w:val="20"/>
          <w:szCs w:val="20"/>
        </w:rPr>
      </w:pPr>
      <w:r>
        <w:rPr>
          <w:rFonts w:ascii="Verdana" w:hAnsi="Verdana" w:cs="Verdana"/>
          <w:b/>
          <w:bCs/>
          <w:sz w:val="20"/>
          <w:szCs w:val="20"/>
        </w:rPr>
        <w:t>ART. 15 NORME INERENTI ALLA CESSAZIONE DEL SERVIZIO DI TESORERIA</w:t>
      </w:r>
    </w:p>
    <w:p w14:paraId="06AF3EBA" w14:textId="1246DA11" w:rsidR="00A938CC" w:rsidRPr="0036246A" w:rsidRDefault="00A938CC" w:rsidP="00A938CC">
      <w:pPr>
        <w:pStyle w:val="Paragrafoelenco"/>
        <w:widowControl w:val="0"/>
        <w:numPr>
          <w:ilvl w:val="0"/>
          <w:numId w:val="39"/>
        </w:numPr>
        <w:spacing w:before="120" w:line="360" w:lineRule="auto"/>
        <w:jc w:val="both"/>
        <w:rPr>
          <w:rFonts w:ascii="Verdana" w:hAnsi="Verdana" w:cs="Verdana"/>
          <w:sz w:val="20"/>
          <w:szCs w:val="20"/>
        </w:rPr>
      </w:pPr>
      <w:r w:rsidRPr="00A938CC">
        <w:rPr>
          <w:rFonts w:ascii="Verdana" w:hAnsi="Verdana" w:cs="Verdana"/>
          <w:sz w:val="20"/>
          <w:szCs w:val="20"/>
        </w:rPr>
        <w:t>Scaduto il termine di cui al precedente articolo 14, ove l’Ente non avesse provveduto alla nomina del nuovo Tesoriere e al disimpegno del relativo nuovo servizio, il Tesoriere dovrà continuarlo, su richiesta dell’ente e nelle more dell’individuazione del nuovo affidatario, con gli stessi obblighi e condizioni e ciò per il periodo massimo di tre mesi, entro il quale l’Ente dovrà assicurare la totale estinzione di ogni eventuale situazione debitoria comunque connessa con il servizio stesso.</w:t>
      </w:r>
    </w:p>
    <w:p w14:paraId="38A4B66A" w14:textId="77777777" w:rsidR="00A938CC" w:rsidRDefault="00A938CC" w:rsidP="00A938CC">
      <w:pPr>
        <w:widowControl w:val="0"/>
        <w:spacing w:before="120" w:line="320" w:lineRule="exact"/>
        <w:jc w:val="both"/>
        <w:rPr>
          <w:rFonts w:ascii="Verdana" w:hAnsi="Verdana" w:cs="Verdana"/>
          <w:sz w:val="20"/>
          <w:szCs w:val="20"/>
        </w:rPr>
      </w:pPr>
      <w:r>
        <w:rPr>
          <w:rFonts w:ascii="Verdana" w:hAnsi="Verdana" w:cs="Verdana"/>
          <w:sz w:val="20"/>
          <w:szCs w:val="20"/>
        </w:rPr>
        <w:t>2. In ogni caso qualora alla scadenza del contratto l’Ente risulti debitore verso il Tesoriere ed il servizio di tesoreria venga affidato ad altro tesoriere, l’Ente medesimo assume espresso impegno di inserire, nella nuova convenzione, idonea clausola che faccia obbligo all’assuntore di concedere una anticipazione nella misura che sarà considerata adeguata a ripianare con carattere di assoluta priorità la situazione debitoria nei confronti del Tesoriere uscente, anche attraverso rapporti diretti tra quest’ultimo ed il nuovo Tesoriere.</w:t>
      </w:r>
    </w:p>
    <w:p w14:paraId="21F6D614" w14:textId="77777777" w:rsidR="00A938CC" w:rsidRDefault="00A938CC" w:rsidP="00A938CC">
      <w:pPr>
        <w:widowControl w:val="0"/>
        <w:spacing w:before="120" w:line="320" w:lineRule="exact"/>
        <w:jc w:val="both"/>
        <w:rPr>
          <w:rFonts w:ascii="Verdana" w:hAnsi="Verdana" w:cs="Verdana"/>
          <w:b/>
          <w:bCs/>
          <w:sz w:val="20"/>
          <w:szCs w:val="20"/>
        </w:rPr>
      </w:pPr>
      <w:r>
        <w:rPr>
          <w:rFonts w:ascii="Verdana" w:hAnsi="Verdana" w:cs="Verdana"/>
          <w:b/>
          <w:bCs/>
          <w:sz w:val="20"/>
          <w:szCs w:val="20"/>
        </w:rPr>
        <w:t>ART. 16 SPESE DI STIPULA E DI REGISTRAZIONE DELLA CONVENZIONE</w:t>
      </w:r>
    </w:p>
    <w:p w14:paraId="157F8161" w14:textId="77777777" w:rsidR="00A938CC" w:rsidRDefault="00A938CC" w:rsidP="00A938CC">
      <w:pPr>
        <w:widowControl w:val="0"/>
        <w:spacing w:before="120" w:line="320" w:lineRule="exact"/>
        <w:jc w:val="both"/>
        <w:rPr>
          <w:rFonts w:ascii="Verdana" w:hAnsi="Verdana" w:cs="Verdana"/>
          <w:sz w:val="20"/>
          <w:szCs w:val="20"/>
        </w:rPr>
      </w:pPr>
      <w:r>
        <w:rPr>
          <w:rFonts w:ascii="Verdana" w:hAnsi="Verdana" w:cs="Verdana"/>
          <w:sz w:val="20"/>
          <w:szCs w:val="20"/>
        </w:rPr>
        <w:t>Le spese di stipulazione e dell’eventuale registrazione della presente convenzione ed ogni altra conseguente sono a carico del Tesoriere. Agli effetti della registrazione, si applicano le disposizioni di cui al D.P.R. n. 131/1986 e successive modificazioni e/o integrazioni.</w:t>
      </w:r>
    </w:p>
    <w:p w14:paraId="57931DFC" w14:textId="77777777" w:rsidR="00A938CC" w:rsidRDefault="00A938CC" w:rsidP="00A938CC">
      <w:pPr>
        <w:widowControl w:val="0"/>
        <w:spacing w:before="120" w:line="320" w:lineRule="exact"/>
        <w:jc w:val="both"/>
        <w:rPr>
          <w:rFonts w:ascii="Verdana" w:hAnsi="Verdana" w:cs="Verdana"/>
          <w:b/>
          <w:bCs/>
          <w:sz w:val="20"/>
          <w:szCs w:val="20"/>
        </w:rPr>
      </w:pPr>
      <w:r>
        <w:rPr>
          <w:rFonts w:ascii="Verdana" w:hAnsi="Verdana" w:cs="Verdana"/>
          <w:b/>
          <w:bCs/>
          <w:sz w:val="20"/>
          <w:szCs w:val="20"/>
        </w:rPr>
        <w:t>ART. 17 CAUZIONE</w:t>
      </w:r>
    </w:p>
    <w:p w14:paraId="41F22BC8" w14:textId="77777777" w:rsidR="00A938CC" w:rsidRDefault="00A938CC" w:rsidP="00A938CC">
      <w:pPr>
        <w:widowControl w:val="0"/>
        <w:spacing w:before="120" w:line="320" w:lineRule="exact"/>
        <w:jc w:val="both"/>
        <w:rPr>
          <w:rFonts w:ascii="Verdana" w:hAnsi="Verdana" w:cs="Verdana"/>
          <w:sz w:val="20"/>
          <w:szCs w:val="20"/>
        </w:rPr>
      </w:pPr>
      <w:r>
        <w:rPr>
          <w:rFonts w:ascii="Verdana" w:hAnsi="Verdana" w:cs="Verdana"/>
          <w:sz w:val="20"/>
          <w:szCs w:val="20"/>
        </w:rPr>
        <w:t>Il Tesoriere, in dipendenza del servizio di cui sopra, in quanto azienda di credito iscritta all’albo degli enti creditizi tenuto dalla Banca d’Italia viene esonerato dal prestare cauzione pur rispondendo con l’intero patrimonio di tutti i valori di cui è depositario in nome e per conto dell’Ente.</w:t>
      </w:r>
    </w:p>
    <w:p w14:paraId="43286F07" w14:textId="77777777" w:rsidR="0036246A" w:rsidRDefault="0036246A" w:rsidP="00A938CC">
      <w:pPr>
        <w:widowControl w:val="0"/>
        <w:spacing w:before="120" w:line="320" w:lineRule="exact"/>
        <w:jc w:val="both"/>
        <w:rPr>
          <w:rFonts w:ascii="Verdana" w:hAnsi="Verdana" w:cs="Verdana"/>
          <w:sz w:val="20"/>
          <w:szCs w:val="20"/>
        </w:rPr>
      </w:pPr>
    </w:p>
    <w:p w14:paraId="013849DF" w14:textId="77777777" w:rsidR="0036246A" w:rsidRDefault="0036246A" w:rsidP="00A938CC">
      <w:pPr>
        <w:widowControl w:val="0"/>
        <w:spacing w:before="120" w:line="320" w:lineRule="exact"/>
        <w:jc w:val="both"/>
        <w:rPr>
          <w:rFonts w:ascii="Verdana" w:hAnsi="Verdana" w:cs="Verdana"/>
          <w:sz w:val="20"/>
          <w:szCs w:val="20"/>
        </w:rPr>
      </w:pPr>
    </w:p>
    <w:p w14:paraId="677699D2" w14:textId="77777777" w:rsidR="0036246A" w:rsidRDefault="0036246A" w:rsidP="00A938CC">
      <w:pPr>
        <w:widowControl w:val="0"/>
        <w:spacing w:before="120" w:line="320" w:lineRule="exact"/>
        <w:jc w:val="both"/>
        <w:rPr>
          <w:rFonts w:ascii="Verdana" w:hAnsi="Verdana" w:cs="Verdana"/>
          <w:sz w:val="20"/>
          <w:szCs w:val="20"/>
        </w:rPr>
      </w:pPr>
    </w:p>
    <w:p w14:paraId="4BF7F4C4" w14:textId="77777777" w:rsidR="0036246A" w:rsidRDefault="0036246A" w:rsidP="00A938CC">
      <w:pPr>
        <w:widowControl w:val="0"/>
        <w:spacing w:before="120" w:line="320" w:lineRule="exact"/>
        <w:jc w:val="both"/>
        <w:rPr>
          <w:rFonts w:ascii="Verdana" w:hAnsi="Verdana" w:cs="Verdana"/>
          <w:sz w:val="20"/>
          <w:szCs w:val="20"/>
        </w:rPr>
      </w:pPr>
    </w:p>
    <w:p w14:paraId="02866C54" w14:textId="77777777" w:rsidR="00A938CC" w:rsidRDefault="00A938CC" w:rsidP="00A938CC">
      <w:pPr>
        <w:widowControl w:val="0"/>
        <w:spacing w:before="120" w:line="320" w:lineRule="exact"/>
        <w:jc w:val="both"/>
        <w:rPr>
          <w:rFonts w:ascii="Verdana" w:hAnsi="Verdana" w:cs="Verdana"/>
          <w:b/>
          <w:bCs/>
          <w:sz w:val="20"/>
          <w:szCs w:val="20"/>
        </w:rPr>
      </w:pPr>
      <w:r>
        <w:rPr>
          <w:rFonts w:ascii="Verdana" w:hAnsi="Verdana" w:cs="Verdana"/>
          <w:b/>
          <w:bCs/>
          <w:sz w:val="20"/>
          <w:szCs w:val="20"/>
        </w:rPr>
        <w:lastRenderedPageBreak/>
        <w:t>ART. 18 DISPOSIZIONI FINALI</w:t>
      </w:r>
    </w:p>
    <w:p w14:paraId="79F68FBB" w14:textId="77777777" w:rsidR="00A938CC" w:rsidRDefault="00A938CC" w:rsidP="00A938CC">
      <w:pPr>
        <w:widowControl w:val="0"/>
        <w:spacing w:before="120" w:line="320" w:lineRule="exact"/>
        <w:jc w:val="both"/>
        <w:rPr>
          <w:rFonts w:ascii="Verdana" w:hAnsi="Verdana" w:cs="Verdana"/>
          <w:sz w:val="20"/>
          <w:szCs w:val="20"/>
        </w:rPr>
      </w:pPr>
      <w:r>
        <w:rPr>
          <w:rFonts w:ascii="Verdana" w:hAnsi="Verdana" w:cs="Verdana"/>
          <w:sz w:val="20"/>
          <w:szCs w:val="20"/>
        </w:rPr>
        <w:t>Per tutto quanto non espressamente previsto dalla presente convenzione si rinvia alle recenti disposizioni legislative in materia ed agli usi e consuetudini che disciplinano la materia.</w:t>
      </w:r>
    </w:p>
    <w:p w14:paraId="02F4E224" w14:textId="77777777" w:rsidR="00A938CC" w:rsidRDefault="00A938CC" w:rsidP="00A938CC">
      <w:pPr>
        <w:widowControl w:val="0"/>
        <w:spacing w:before="120" w:line="320" w:lineRule="exact"/>
        <w:jc w:val="both"/>
        <w:rPr>
          <w:rFonts w:ascii="Verdana" w:hAnsi="Verdana" w:cs="Verdana"/>
          <w:b/>
          <w:bCs/>
          <w:sz w:val="20"/>
          <w:szCs w:val="20"/>
        </w:rPr>
      </w:pPr>
      <w:r>
        <w:rPr>
          <w:rFonts w:ascii="Verdana" w:hAnsi="Verdana" w:cs="Verdana"/>
          <w:b/>
          <w:bCs/>
          <w:sz w:val="20"/>
          <w:szCs w:val="20"/>
        </w:rPr>
        <w:t>ART. 19 DOMICILIO DELLE PARTI</w:t>
      </w:r>
    </w:p>
    <w:p w14:paraId="0794242C" w14:textId="77777777" w:rsidR="00A938CC" w:rsidRDefault="00A938CC" w:rsidP="00A938CC">
      <w:pPr>
        <w:widowControl w:val="0"/>
        <w:spacing w:before="120" w:line="320" w:lineRule="exact"/>
        <w:jc w:val="both"/>
        <w:rPr>
          <w:rFonts w:ascii="Verdana" w:hAnsi="Verdana" w:cs="Verdana"/>
          <w:sz w:val="20"/>
          <w:szCs w:val="20"/>
        </w:rPr>
      </w:pPr>
      <w:r>
        <w:rPr>
          <w:rFonts w:ascii="Verdana" w:hAnsi="Verdana" w:cs="Verdana"/>
          <w:sz w:val="20"/>
          <w:szCs w:val="20"/>
        </w:rPr>
        <w:t>Per gli effetti della presente convenzione e per tutte le conseguenze dalla stessa derivanti, l’Ente ed il Tesoriere eleggono il proprio domicilio presso le rispettive sedi indicate nel preambolo della presente convenzione.</w:t>
      </w:r>
    </w:p>
    <w:p w14:paraId="593C5C17" w14:textId="77777777" w:rsidR="00A938CC" w:rsidRDefault="00A938CC" w:rsidP="00A938CC">
      <w:pPr>
        <w:widowControl w:val="0"/>
        <w:jc w:val="both"/>
        <w:rPr>
          <w:rFonts w:ascii="Verdana" w:hAnsi="Verdana" w:cs="Verdana"/>
          <w:sz w:val="20"/>
          <w:szCs w:val="20"/>
        </w:rPr>
      </w:pPr>
    </w:p>
    <w:p w14:paraId="0275E297" w14:textId="77777777" w:rsidR="0036246A" w:rsidRDefault="0036246A" w:rsidP="00A938CC">
      <w:pPr>
        <w:widowControl w:val="0"/>
        <w:jc w:val="both"/>
        <w:rPr>
          <w:rFonts w:ascii="Verdana" w:hAnsi="Verdana" w:cs="Verdana"/>
          <w:sz w:val="20"/>
          <w:szCs w:val="20"/>
        </w:rPr>
      </w:pPr>
    </w:p>
    <w:p w14:paraId="7F827718" w14:textId="77777777" w:rsidR="0036246A" w:rsidRDefault="0036246A" w:rsidP="00A938CC">
      <w:pPr>
        <w:widowControl w:val="0"/>
        <w:jc w:val="both"/>
        <w:rPr>
          <w:rFonts w:ascii="Verdana" w:hAnsi="Verdana" w:cs="Verdana"/>
          <w:sz w:val="20"/>
          <w:szCs w:val="20"/>
        </w:rPr>
      </w:pPr>
    </w:p>
    <w:p w14:paraId="7BA5C059" w14:textId="77777777" w:rsidR="00A938CC" w:rsidRDefault="00A938CC" w:rsidP="00A938CC">
      <w:pPr>
        <w:widowControl w:val="0"/>
        <w:jc w:val="both"/>
        <w:rPr>
          <w:rFonts w:ascii="Verdana" w:hAnsi="Verdana" w:cs="Verdana"/>
          <w:sz w:val="20"/>
          <w:szCs w:val="20"/>
        </w:rPr>
      </w:pPr>
    </w:p>
    <w:p w14:paraId="20D11DBB" w14:textId="77777777" w:rsidR="00A938CC" w:rsidRDefault="00A938CC" w:rsidP="00A938CC">
      <w:pPr>
        <w:widowControl w:val="0"/>
        <w:jc w:val="both"/>
        <w:rPr>
          <w:rFonts w:ascii="Verdana" w:hAnsi="Verdana" w:cs="Verdana"/>
          <w:sz w:val="20"/>
          <w:szCs w:val="20"/>
        </w:rPr>
      </w:pPr>
      <w:r>
        <w:rPr>
          <w:rFonts w:ascii="Verdana" w:hAnsi="Verdana" w:cs="Verdana"/>
          <w:sz w:val="20"/>
          <w:szCs w:val="20"/>
        </w:rPr>
        <w:t>Letto, approvato e sottoscritto.</w:t>
      </w:r>
    </w:p>
    <w:p w14:paraId="4B1FD56C" w14:textId="77777777" w:rsidR="0036246A" w:rsidRDefault="0036246A" w:rsidP="00A938CC">
      <w:pPr>
        <w:widowControl w:val="0"/>
        <w:jc w:val="both"/>
        <w:rPr>
          <w:rFonts w:ascii="Verdana" w:hAnsi="Verdana" w:cs="Verdana"/>
          <w:sz w:val="20"/>
          <w:szCs w:val="20"/>
        </w:rPr>
      </w:pPr>
    </w:p>
    <w:p w14:paraId="1F4B6AD3" w14:textId="77777777" w:rsidR="0036246A" w:rsidRDefault="0036246A" w:rsidP="00A938CC">
      <w:pPr>
        <w:widowControl w:val="0"/>
        <w:jc w:val="both"/>
        <w:rPr>
          <w:rFonts w:ascii="Verdana" w:hAnsi="Verdana" w:cs="Verdana"/>
          <w:sz w:val="20"/>
          <w:szCs w:val="20"/>
        </w:rPr>
      </w:pPr>
    </w:p>
    <w:p w14:paraId="116E4B1B" w14:textId="77777777" w:rsidR="00A938CC" w:rsidRDefault="00A938CC" w:rsidP="00A938CC">
      <w:pPr>
        <w:widowControl w:val="0"/>
        <w:jc w:val="both"/>
        <w:rPr>
          <w:rFonts w:ascii="Verdana" w:hAnsi="Verdana" w:cs="Verdana"/>
          <w:sz w:val="20"/>
          <w:szCs w:val="20"/>
        </w:rPr>
      </w:pPr>
    </w:p>
    <w:p w14:paraId="4F43F8D0" w14:textId="77777777" w:rsidR="00A938CC" w:rsidRDefault="00A938CC" w:rsidP="00A938CC">
      <w:pPr>
        <w:widowControl w:val="0"/>
        <w:jc w:val="both"/>
        <w:rPr>
          <w:rFonts w:ascii="Verdana" w:hAnsi="Verdana" w:cs="Verdana"/>
          <w:sz w:val="20"/>
          <w:szCs w:val="20"/>
        </w:rPr>
      </w:pPr>
      <w:r>
        <w:rPr>
          <w:rFonts w:ascii="Verdana" w:hAnsi="Verdana" w:cs="Verdana"/>
          <w:sz w:val="20"/>
          <w:szCs w:val="20"/>
        </w:rPr>
        <w:t xml:space="preserve">PER L’ENTE </w:t>
      </w:r>
      <w:r>
        <w:rPr>
          <w:rFonts w:ascii="Verdana" w:hAnsi="Verdana" w:cs="Verdana"/>
          <w:sz w:val="20"/>
          <w:szCs w:val="20"/>
        </w:rPr>
        <w:tab/>
      </w:r>
      <w:r>
        <w:rPr>
          <w:rFonts w:ascii="Verdana" w:hAnsi="Verdana" w:cs="Verdana"/>
          <w:sz w:val="20"/>
          <w:szCs w:val="20"/>
        </w:rPr>
        <w:tab/>
      </w:r>
      <w:r>
        <w:rPr>
          <w:rFonts w:ascii="Verdana" w:hAnsi="Verdana" w:cs="Verdana"/>
          <w:sz w:val="20"/>
          <w:szCs w:val="20"/>
        </w:rPr>
        <w:tab/>
      </w:r>
      <w:r>
        <w:rPr>
          <w:rFonts w:ascii="Verdana" w:hAnsi="Verdana" w:cs="Verdana"/>
          <w:sz w:val="20"/>
          <w:szCs w:val="20"/>
        </w:rPr>
        <w:tab/>
      </w:r>
      <w:r>
        <w:rPr>
          <w:rFonts w:ascii="Verdana" w:hAnsi="Verdana" w:cs="Verdana"/>
          <w:sz w:val="20"/>
          <w:szCs w:val="20"/>
        </w:rPr>
        <w:tab/>
      </w:r>
      <w:r>
        <w:rPr>
          <w:rFonts w:ascii="Verdana" w:hAnsi="Verdana" w:cs="Verdana"/>
          <w:sz w:val="20"/>
          <w:szCs w:val="20"/>
        </w:rPr>
        <w:tab/>
      </w:r>
      <w:r>
        <w:rPr>
          <w:rFonts w:ascii="Verdana" w:hAnsi="Verdana" w:cs="Verdana"/>
          <w:sz w:val="20"/>
          <w:szCs w:val="20"/>
        </w:rPr>
        <w:tab/>
      </w:r>
      <w:r>
        <w:rPr>
          <w:rFonts w:ascii="Verdana" w:hAnsi="Verdana" w:cs="Verdana"/>
          <w:sz w:val="20"/>
          <w:szCs w:val="20"/>
        </w:rPr>
        <w:tab/>
        <w:t>PER IL TESORIERE</w:t>
      </w:r>
    </w:p>
    <w:p w14:paraId="6783C649" w14:textId="77777777" w:rsidR="00A938CC" w:rsidRDefault="00A938CC" w:rsidP="00A938CC">
      <w:pPr>
        <w:widowControl w:val="0"/>
        <w:jc w:val="both"/>
        <w:rPr>
          <w:rFonts w:ascii="Verdana" w:hAnsi="Verdana" w:cs="Verdana"/>
          <w:sz w:val="20"/>
          <w:szCs w:val="20"/>
        </w:rPr>
      </w:pPr>
    </w:p>
    <w:p w14:paraId="455ACBFD" w14:textId="77777777" w:rsidR="00A938CC" w:rsidRDefault="00A938CC" w:rsidP="00A938CC">
      <w:pPr>
        <w:widowControl w:val="0"/>
        <w:jc w:val="both"/>
        <w:rPr>
          <w:rFonts w:ascii="Verdana" w:hAnsi="Verdana" w:cs="Verdana"/>
          <w:sz w:val="20"/>
          <w:szCs w:val="20"/>
        </w:rPr>
      </w:pPr>
    </w:p>
    <w:p w14:paraId="19DEC8DD" w14:textId="77777777" w:rsidR="00A938CC" w:rsidRDefault="00A938CC" w:rsidP="00A938CC">
      <w:pPr>
        <w:widowControl w:val="0"/>
        <w:jc w:val="both"/>
        <w:rPr>
          <w:rFonts w:ascii="Verdana" w:hAnsi="Verdana" w:cs="Verdana"/>
          <w:sz w:val="20"/>
          <w:szCs w:val="20"/>
        </w:rPr>
      </w:pPr>
    </w:p>
    <w:p w14:paraId="12CC78F1" w14:textId="77777777" w:rsidR="00A938CC" w:rsidRDefault="00A938CC" w:rsidP="00A938CC">
      <w:pPr>
        <w:widowControl w:val="0"/>
        <w:jc w:val="both"/>
        <w:rPr>
          <w:rFonts w:ascii="Verdana" w:hAnsi="Verdana" w:cs="Verdana"/>
          <w:sz w:val="20"/>
          <w:szCs w:val="20"/>
        </w:rPr>
      </w:pPr>
    </w:p>
    <w:p w14:paraId="494860EF" w14:textId="77777777" w:rsidR="00A938CC" w:rsidRDefault="00A938CC" w:rsidP="00A938CC">
      <w:pPr>
        <w:widowControl w:val="0"/>
        <w:jc w:val="both"/>
        <w:rPr>
          <w:rFonts w:ascii="Verdana" w:hAnsi="Verdana" w:cs="Verdana"/>
          <w:sz w:val="20"/>
          <w:szCs w:val="20"/>
        </w:rPr>
      </w:pPr>
    </w:p>
    <w:p w14:paraId="78BB912E" w14:textId="77777777" w:rsidR="00A938CC" w:rsidRDefault="00A938CC" w:rsidP="00A938CC">
      <w:pPr>
        <w:widowControl w:val="0"/>
        <w:jc w:val="both"/>
        <w:rPr>
          <w:rFonts w:ascii="Verdana" w:hAnsi="Verdana" w:cs="Verdana"/>
          <w:sz w:val="20"/>
          <w:szCs w:val="20"/>
        </w:rPr>
      </w:pPr>
    </w:p>
    <w:p w14:paraId="4EBD822E" w14:textId="77777777" w:rsidR="00A938CC" w:rsidRDefault="00A938CC" w:rsidP="00A938CC">
      <w:pPr>
        <w:widowControl w:val="0"/>
        <w:jc w:val="both"/>
        <w:rPr>
          <w:rFonts w:ascii="Verdana" w:hAnsi="Verdana" w:cs="Verdana"/>
          <w:sz w:val="20"/>
          <w:szCs w:val="20"/>
        </w:rPr>
      </w:pPr>
    </w:p>
    <w:p w14:paraId="5737EAE9" w14:textId="77777777" w:rsidR="00A938CC" w:rsidRDefault="00A938CC" w:rsidP="00A938CC">
      <w:pPr>
        <w:widowControl w:val="0"/>
        <w:jc w:val="both"/>
        <w:rPr>
          <w:rFonts w:ascii="Verdana" w:hAnsi="Verdana" w:cs="Verdana"/>
          <w:sz w:val="20"/>
          <w:szCs w:val="20"/>
        </w:rPr>
      </w:pPr>
    </w:p>
    <w:p w14:paraId="2B4DEB48" w14:textId="77777777" w:rsidR="0036246A" w:rsidRDefault="0036246A" w:rsidP="00A938CC">
      <w:pPr>
        <w:widowControl w:val="0"/>
        <w:jc w:val="both"/>
        <w:rPr>
          <w:rFonts w:ascii="Verdana" w:hAnsi="Verdana" w:cs="Verdana"/>
          <w:b/>
          <w:bCs/>
          <w:sz w:val="20"/>
          <w:szCs w:val="20"/>
        </w:rPr>
      </w:pPr>
    </w:p>
    <w:p w14:paraId="6747FFB2" w14:textId="77777777" w:rsidR="0036246A" w:rsidRDefault="0036246A" w:rsidP="00A938CC">
      <w:pPr>
        <w:widowControl w:val="0"/>
        <w:jc w:val="both"/>
        <w:rPr>
          <w:rFonts w:ascii="Verdana" w:hAnsi="Verdana" w:cs="Verdana"/>
          <w:b/>
          <w:bCs/>
          <w:sz w:val="20"/>
          <w:szCs w:val="20"/>
        </w:rPr>
      </w:pPr>
    </w:p>
    <w:p w14:paraId="477ACA20" w14:textId="77777777" w:rsidR="00A938CC" w:rsidRDefault="00A938CC" w:rsidP="00A938CC">
      <w:pPr>
        <w:widowControl w:val="0"/>
        <w:jc w:val="both"/>
        <w:rPr>
          <w:rFonts w:ascii="Times New Roman" w:hAnsi="Times New Roman" w:cs="Times New Roman"/>
          <w:b/>
          <w:bCs/>
        </w:rPr>
      </w:pPr>
      <w:r>
        <w:rPr>
          <w:rFonts w:ascii="Verdana" w:hAnsi="Verdana" w:cs="Verdana"/>
          <w:b/>
          <w:bCs/>
          <w:sz w:val="20"/>
          <w:szCs w:val="20"/>
        </w:rPr>
        <w:t>Allegato A): CONDIZIONI ECONOMICHE</w:t>
      </w:r>
    </w:p>
    <w:p w14:paraId="50294800" w14:textId="77777777" w:rsidR="0036246A" w:rsidRDefault="0036246A" w:rsidP="00A938CC">
      <w:pPr>
        <w:widowControl w:val="0"/>
        <w:jc w:val="both"/>
        <w:rPr>
          <w:rFonts w:ascii="Verdana" w:hAnsi="Verdana" w:cs="Verdana"/>
          <w:b/>
          <w:bCs/>
          <w:sz w:val="20"/>
          <w:szCs w:val="20"/>
        </w:rPr>
      </w:pPr>
    </w:p>
    <w:p w14:paraId="5ABBF6E6" w14:textId="77777777" w:rsidR="0036246A" w:rsidRDefault="0036246A" w:rsidP="00A938CC">
      <w:pPr>
        <w:widowControl w:val="0"/>
        <w:jc w:val="both"/>
        <w:rPr>
          <w:rFonts w:ascii="Verdana" w:hAnsi="Verdana" w:cs="Verdana"/>
          <w:b/>
          <w:bCs/>
          <w:sz w:val="20"/>
          <w:szCs w:val="20"/>
        </w:rPr>
      </w:pPr>
    </w:p>
    <w:p w14:paraId="0C08EC79" w14:textId="77777777" w:rsidR="00A938CC" w:rsidRDefault="00A938CC" w:rsidP="00A938CC">
      <w:pPr>
        <w:widowControl w:val="0"/>
        <w:jc w:val="both"/>
        <w:rPr>
          <w:rFonts w:ascii="Verdana" w:hAnsi="Verdana" w:cs="Verdana"/>
          <w:b/>
          <w:bCs/>
          <w:sz w:val="20"/>
          <w:szCs w:val="20"/>
        </w:rPr>
      </w:pPr>
      <w:bookmarkStart w:id="0" w:name="_GoBack"/>
      <w:bookmarkEnd w:id="0"/>
      <w:r>
        <w:rPr>
          <w:rFonts w:ascii="Verdana" w:hAnsi="Verdana" w:cs="Verdana"/>
          <w:b/>
          <w:bCs/>
          <w:sz w:val="20"/>
          <w:szCs w:val="20"/>
        </w:rPr>
        <w:t>Allegato B): VALUTE APPLICATE ALLE OPERAZIONI DI PAGAMENTO</w:t>
      </w:r>
    </w:p>
    <w:p w14:paraId="4D64A3B7" w14:textId="77777777" w:rsidR="00A938CC" w:rsidRDefault="00A938CC" w:rsidP="00A938CC">
      <w:pPr>
        <w:autoSpaceDE w:val="0"/>
        <w:autoSpaceDN w:val="0"/>
        <w:adjustRightInd w:val="0"/>
        <w:rPr>
          <w:rFonts w:ascii="Times New Roman" w:hAnsi="Times New Roman" w:cs="Times New Roman"/>
        </w:rPr>
      </w:pPr>
    </w:p>
    <w:p w14:paraId="28E98171" w14:textId="77777777" w:rsidR="00A938CC" w:rsidRDefault="00A938CC" w:rsidP="00A938CC">
      <w:pPr>
        <w:autoSpaceDE w:val="0"/>
        <w:autoSpaceDN w:val="0"/>
        <w:adjustRightInd w:val="0"/>
        <w:rPr>
          <w:color w:val="000000"/>
        </w:rPr>
      </w:pPr>
    </w:p>
    <w:p w14:paraId="21179D5A" w14:textId="77777777" w:rsidR="00A938CC" w:rsidRDefault="00A938CC" w:rsidP="00A938CC">
      <w:pPr>
        <w:autoSpaceDE w:val="0"/>
        <w:autoSpaceDN w:val="0"/>
        <w:adjustRightInd w:val="0"/>
        <w:rPr>
          <w:b/>
          <w:bCs/>
          <w:color w:val="000000"/>
        </w:rPr>
      </w:pPr>
    </w:p>
    <w:p w14:paraId="4CC690F8" w14:textId="77777777" w:rsidR="00BB1BC8" w:rsidRDefault="00BB1BC8" w:rsidP="00BB1BC8">
      <w:pPr>
        <w:jc w:val="both"/>
        <w:rPr>
          <w:sz w:val="22"/>
          <w:szCs w:val="22"/>
        </w:rPr>
      </w:pPr>
    </w:p>
    <w:p w14:paraId="212A0800" w14:textId="77777777" w:rsidR="00A938CC" w:rsidRDefault="00A938CC" w:rsidP="00BB1BC8">
      <w:pPr>
        <w:jc w:val="both"/>
        <w:rPr>
          <w:sz w:val="22"/>
          <w:szCs w:val="22"/>
        </w:rPr>
      </w:pPr>
    </w:p>
    <w:p w14:paraId="322F397A" w14:textId="77777777" w:rsidR="00B754A6" w:rsidRPr="00645D38" w:rsidRDefault="00B754A6" w:rsidP="00BB1BC8">
      <w:pPr>
        <w:jc w:val="both"/>
        <w:rPr>
          <w:sz w:val="22"/>
          <w:szCs w:val="22"/>
        </w:rPr>
      </w:pPr>
    </w:p>
    <w:sectPr w:rsidR="00B754A6" w:rsidRPr="00645D38" w:rsidSect="009B4CAB">
      <w:headerReference w:type="even" r:id="rId8"/>
      <w:headerReference w:type="default" r:id="rId9"/>
      <w:headerReference w:type="first" r:id="rId10"/>
      <w:pgSz w:w="11900" w:h="16840"/>
      <w:pgMar w:top="2268" w:right="1134" w:bottom="1134" w:left="1134" w:header="992"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8F40B4" w14:textId="77777777" w:rsidR="00CC54B9" w:rsidRDefault="00CC54B9" w:rsidP="0076788F">
      <w:r>
        <w:separator/>
      </w:r>
    </w:p>
  </w:endnote>
  <w:endnote w:type="continuationSeparator" w:id="0">
    <w:p w14:paraId="04176170" w14:textId="77777777" w:rsidR="00CC54B9" w:rsidRDefault="00CC54B9" w:rsidP="00767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F6F61E" w14:textId="77777777" w:rsidR="00CC54B9" w:rsidRDefault="00CC54B9" w:rsidP="0076788F">
      <w:r>
        <w:separator/>
      </w:r>
    </w:p>
  </w:footnote>
  <w:footnote w:type="continuationSeparator" w:id="0">
    <w:p w14:paraId="28557C71" w14:textId="77777777" w:rsidR="00CC54B9" w:rsidRDefault="00CC54B9" w:rsidP="007678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B701C8" w14:textId="277CDD45" w:rsidR="00B754A6" w:rsidRDefault="0036246A">
    <w:pPr>
      <w:pStyle w:val="Intestazione"/>
    </w:pPr>
    <w:r>
      <w:rPr>
        <w:noProof/>
      </w:rPr>
      <w:pict w14:anchorId="10151C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61" type="#_x0000_t75" style="position:absolute;margin-left:0;margin-top:0;width:595.2pt;height:841.9pt;z-index:-251651072;mso-wrap-edited:f;mso-position-horizontal:center;mso-position-horizontal-relative:margin;mso-position-vertical:center;mso-position-vertical-relative:margin" wrapcoords="-27 0 -27 21561 21600 21561 21600 0 -27 0">
          <v:imagedata r:id="rId1" o:title="Carta-Intestata-AMSC_SPA_2017"/>
          <w10:wrap anchorx="margin" anchory="margin"/>
        </v:shape>
      </w:pict>
    </w:r>
    <w:r w:rsidR="00B754A6">
      <w:rPr>
        <w:noProof/>
      </w:rPr>
      <w:drawing>
        <wp:anchor distT="0" distB="0" distL="114300" distR="114300" simplePos="0" relativeHeight="251662336" behindDoc="1" locked="0" layoutInCell="1" allowOverlap="1" wp14:anchorId="2079F108" wp14:editId="5A7722BF">
          <wp:simplePos x="0" y="0"/>
          <wp:positionH relativeFrom="margin">
            <wp:align>center</wp:align>
          </wp:positionH>
          <wp:positionV relativeFrom="margin">
            <wp:align>center</wp:align>
          </wp:positionV>
          <wp:extent cx="7559040" cy="10692130"/>
          <wp:effectExtent l="0" t="0" r="3810" b="0"/>
          <wp:wrapNone/>
          <wp:docPr id="2" name="Immagine 2" descr="Carta-Intestata-AMSC_SPA_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arta-Intestata-AMSC_SPA_201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9040" cy="1069213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982DF2" w14:textId="7D0D9959" w:rsidR="00B754A6" w:rsidRDefault="0036246A">
    <w:pPr>
      <w:pStyle w:val="Intestazione"/>
    </w:pPr>
    <w:r>
      <w:rPr>
        <w:noProof/>
      </w:rPr>
      <w:pict w14:anchorId="0DC0E9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60" type="#_x0000_t75" style="position:absolute;margin-left:0;margin-top:0;width:595.2pt;height:841.9pt;z-index:-251652096;mso-wrap-edited:f;mso-position-horizontal:absolute;mso-position-horizontal-relative:page;mso-position-vertical:absolute;mso-position-vertical-relative:page" wrapcoords="-27 0 -27 21561 21600 21561 21600 0 -27 0">
          <v:imagedata r:id="rId1" o:title="Carta-Intestata-AMSC_SPA_2017"/>
          <w10:wrap anchorx="page"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2C0823" w14:textId="758771B8" w:rsidR="00B754A6" w:rsidRDefault="0036246A">
    <w:pPr>
      <w:pStyle w:val="Intestazione"/>
    </w:pPr>
    <w:r>
      <w:rPr>
        <w:noProof/>
      </w:rPr>
      <w:pict w14:anchorId="6EC55F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62" type="#_x0000_t75" style="position:absolute;margin-left:0;margin-top:0;width:595.2pt;height:841.9pt;z-index:-251650048;mso-wrap-edited:f;mso-position-horizontal:center;mso-position-horizontal-relative:margin;mso-position-vertical:center;mso-position-vertical-relative:margin" wrapcoords="-27 0 -27 21561 21600 21561 21600 0 -27 0">
          <v:imagedata r:id="rId1" o:title="Carta-Intestata-AMSC_SPA_2017"/>
          <w10:wrap anchorx="margin" anchory="margin"/>
        </v:shape>
      </w:pict>
    </w:r>
    <w:r w:rsidR="00B754A6">
      <w:rPr>
        <w:noProof/>
      </w:rPr>
      <w:drawing>
        <wp:anchor distT="0" distB="0" distL="114300" distR="114300" simplePos="0" relativeHeight="251663360" behindDoc="1" locked="0" layoutInCell="1" allowOverlap="1" wp14:anchorId="57220F50" wp14:editId="2E726488">
          <wp:simplePos x="0" y="0"/>
          <wp:positionH relativeFrom="margin">
            <wp:align>center</wp:align>
          </wp:positionH>
          <wp:positionV relativeFrom="margin">
            <wp:align>center</wp:align>
          </wp:positionV>
          <wp:extent cx="7559040" cy="10692130"/>
          <wp:effectExtent l="0" t="0" r="3810" b="0"/>
          <wp:wrapNone/>
          <wp:docPr id="1" name="Immagine 1" descr="Carta-Intestata-AMSC_SPA_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arta-Intestata-AMSC_SPA_201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9040" cy="1069213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22B05"/>
    <w:multiLevelType w:val="hybridMultilevel"/>
    <w:tmpl w:val="990A93CE"/>
    <w:lvl w:ilvl="0" w:tplc="04100017">
      <w:start w:val="1"/>
      <w:numFmt w:val="lowerLetter"/>
      <w:lvlText w:val="%1)"/>
      <w:lvlJc w:val="left"/>
      <w:pPr>
        <w:ind w:left="603" w:hanging="360"/>
      </w:pPr>
      <w:rPr>
        <w:rFonts w:hint="default"/>
      </w:rPr>
    </w:lvl>
    <w:lvl w:ilvl="1" w:tplc="04100019" w:tentative="1">
      <w:start w:val="1"/>
      <w:numFmt w:val="lowerLetter"/>
      <w:lvlText w:val="%2."/>
      <w:lvlJc w:val="left"/>
      <w:pPr>
        <w:ind w:left="1323" w:hanging="360"/>
      </w:pPr>
    </w:lvl>
    <w:lvl w:ilvl="2" w:tplc="0410001B" w:tentative="1">
      <w:start w:val="1"/>
      <w:numFmt w:val="lowerRoman"/>
      <w:lvlText w:val="%3."/>
      <w:lvlJc w:val="right"/>
      <w:pPr>
        <w:ind w:left="2043" w:hanging="180"/>
      </w:pPr>
    </w:lvl>
    <w:lvl w:ilvl="3" w:tplc="0410000F" w:tentative="1">
      <w:start w:val="1"/>
      <w:numFmt w:val="decimal"/>
      <w:lvlText w:val="%4."/>
      <w:lvlJc w:val="left"/>
      <w:pPr>
        <w:ind w:left="2763" w:hanging="360"/>
      </w:pPr>
    </w:lvl>
    <w:lvl w:ilvl="4" w:tplc="04100019" w:tentative="1">
      <w:start w:val="1"/>
      <w:numFmt w:val="lowerLetter"/>
      <w:lvlText w:val="%5."/>
      <w:lvlJc w:val="left"/>
      <w:pPr>
        <w:ind w:left="3483" w:hanging="360"/>
      </w:pPr>
    </w:lvl>
    <w:lvl w:ilvl="5" w:tplc="0410001B" w:tentative="1">
      <w:start w:val="1"/>
      <w:numFmt w:val="lowerRoman"/>
      <w:lvlText w:val="%6."/>
      <w:lvlJc w:val="right"/>
      <w:pPr>
        <w:ind w:left="4203" w:hanging="180"/>
      </w:pPr>
    </w:lvl>
    <w:lvl w:ilvl="6" w:tplc="0410000F" w:tentative="1">
      <w:start w:val="1"/>
      <w:numFmt w:val="decimal"/>
      <w:lvlText w:val="%7."/>
      <w:lvlJc w:val="left"/>
      <w:pPr>
        <w:ind w:left="4923" w:hanging="360"/>
      </w:pPr>
    </w:lvl>
    <w:lvl w:ilvl="7" w:tplc="04100019" w:tentative="1">
      <w:start w:val="1"/>
      <w:numFmt w:val="lowerLetter"/>
      <w:lvlText w:val="%8."/>
      <w:lvlJc w:val="left"/>
      <w:pPr>
        <w:ind w:left="5643" w:hanging="360"/>
      </w:pPr>
    </w:lvl>
    <w:lvl w:ilvl="8" w:tplc="0410001B" w:tentative="1">
      <w:start w:val="1"/>
      <w:numFmt w:val="lowerRoman"/>
      <w:lvlText w:val="%9."/>
      <w:lvlJc w:val="right"/>
      <w:pPr>
        <w:ind w:left="6363" w:hanging="180"/>
      </w:pPr>
    </w:lvl>
  </w:abstractNum>
  <w:abstractNum w:abstractNumId="1" w15:restartNumberingAfterBreak="0">
    <w:nsid w:val="0773791D"/>
    <w:multiLevelType w:val="hybridMultilevel"/>
    <w:tmpl w:val="CDB6394E"/>
    <w:lvl w:ilvl="0" w:tplc="306AD2AC">
      <w:start w:val="1"/>
      <w:numFmt w:val="lowerLetter"/>
      <w:lvlText w:val="%1)"/>
      <w:lvlJc w:val="left"/>
      <w:pPr>
        <w:ind w:left="477" w:hanging="360"/>
      </w:pPr>
      <w:rPr>
        <w:rFonts w:hint="default"/>
      </w:rPr>
    </w:lvl>
    <w:lvl w:ilvl="1" w:tplc="04100019" w:tentative="1">
      <w:start w:val="1"/>
      <w:numFmt w:val="lowerLetter"/>
      <w:lvlText w:val="%2."/>
      <w:lvlJc w:val="left"/>
      <w:pPr>
        <w:ind w:left="1197" w:hanging="360"/>
      </w:pPr>
    </w:lvl>
    <w:lvl w:ilvl="2" w:tplc="0410001B" w:tentative="1">
      <w:start w:val="1"/>
      <w:numFmt w:val="lowerRoman"/>
      <w:lvlText w:val="%3."/>
      <w:lvlJc w:val="right"/>
      <w:pPr>
        <w:ind w:left="1917" w:hanging="180"/>
      </w:pPr>
    </w:lvl>
    <w:lvl w:ilvl="3" w:tplc="0410000F" w:tentative="1">
      <w:start w:val="1"/>
      <w:numFmt w:val="decimal"/>
      <w:lvlText w:val="%4."/>
      <w:lvlJc w:val="left"/>
      <w:pPr>
        <w:ind w:left="2637" w:hanging="360"/>
      </w:pPr>
    </w:lvl>
    <w:lvl w:ilvl="4" w:tplc="04100019" w:tentative="1">
      <w:start w:val="1"/>
      <w:numFmt w:val="lowerLetter"/>
      <w:lvlText w:val="%5."/>
      <w:lvlJc w:val="left"/>
      <w:pPr>
        <w:ind w:left="3357" w:hanging="360"/>
      </w:pPr>
    </w:lvl>
    <w:lvl w:ilvl="5" w:tplc="0410001B" w:tentative="1">
      <w:start w:val="1"/>
      <w:numFmt w:val="lowerRoman"/>
      <w:lvlText w:val="%6."/>
      <w:lvlJc w:val="right"/>
      <w:pPr>
        <w:ind w:left="4077" w:hanging="180"/>
      </w:pPr>
    </w:lvl>
    <w:lvl w:ilvl="6" w:tplc="0410000F" w:tentative="1">
      <w:start w:val="1"/>
      <w:numFmt w:val="decimal"/>
      <w:lvlText w:val="%7."/>
      <w:lvlJc w:val="left"/>
      <w:pPr>
        <w:ind w:left="4797" w:hanging="360"/>
      </w:pPr>
    </w:lvl>
    <w:lvl w:ilvl="7" w:tplc="04100019" w:tentative="1">
      <w:start w:val="1"/>
      <w:numFmt w:val="lowerLetter"/>
      <w:lvlText w:val="%8."/>
      <w:lvlJc w:val="left"/>
      <w:pPr>
        <w:ind w:left="5517" w:hanging="360"/>
      </w:pPr>
    </w:lvl>
    <w:lvl w:ilvl="8" w:tplc="0410001B" w:tentative="1">
      <w:start w:val="1"/>
      <w:numFmt w:val="lowerRoman"/>
      <w:lvlText w:val="%9."/>
      <w:lvlJc w:val="right"/>
      <w:pPr>
        <w:ind w:left="6237" w:hanging="180"/>
      </w:pPr>
    </w:lvl>
  </w:abstractNum>
  <w:abstractNum w:abstractNumId="2" w15:restartNumberingAfterBreak="0">
    <w:nsid w:val="08460FFF"/>
    <w:multiLevelType w:val="hybridMultilevel"/>
    <w:tmpl w:val="B2D66E8E"/>
    <w:lvl w:ilvl="0" w:tplc="04100017">
      <w:start w:val="1"/>
      <w:numFmt w:val="lowerLetter"/>
      <w:lvlText w:val="%1)"/>
      <w:lvlJc w:val="left"/>
      <w:pPr>
        <w:ind w:left="837" w:hanging="360"/>
      </w:pPr>
    </w:lvl>
    <w:lvl w:ilvl="1" w:tplc="04100019" w:tentative="1">
      <w:start w:val="1"/>
      <w:numFmt w:val="lowerLetter"/>
      <w:lvlText w:val="%2."/>
      <w:lvlJc w:val="left"/>
      <w:pPr>
        <w:ind w:left="1557" w:hanging="360"/>
      </w:pPr>
    </w:lvl>
    <w:lvl w:ilvl="2" w:tplc="0410001B" w:tentative="1">
      <w:start w:val="1"/>
      <w:numFmt w:val="lowerRoman"/>
      <w:lvlText w:val="%3."/>
      <w:lvlJc w:val="right"/>
      <w:pPr>
        <w:ind w:left="2277" w:hanging="180"/>
      </w:pPr>
    </w:lvl>
    <w:lvl w:ilvl="3" w:tplc="0410000F" w:tentative="1">
      <w:start w:val="1"/>
      <w:numFmt w:val="decimal"/>
      <w:lvlText w:val="%4."/>
      <w:lvlJc w:val="left"/>
      <w:pPr>
        <w:ind w:left="2997" w:hanging="360"/>
      </w:pPr>
    </w:lvl>
    <w:lvl w:ilvl="4" w:tplc="04100019" w:tentative="1">
      <w:start w:val="1"/>
      <w:numFmt w:val="lowerLetter"/>
      <w:lvlText w:val="%5."/>
      <w:lvlJc w:val="left"/>
      <w:pPr>
        <w:ind w:left="3717" w:hanging="360"/>
      </w:pPr>
    </w:lvl>
    <w:lvl w:ilvl="5" w:tplc="0410001B" w:tentative="1">
      <w:start w:val="1"/>
      <w:numFmt w:val="lowerRoman"/>
      <w:lvlText w:val="%6."/>
      <w:lvlJc w:val="right"/>
      <w:pPr>
        <w:ind w:left="4437" w:hanging="180"/>
      </w:pPr>
    </w:lvl>
    <w:lvl w:ilvl="6" w:tplc="0410000F" w:tentative="1">
      <w:start w:val="1"/>
      <w:numFmt w:val="decimal"/>
      <w:lvlText w:val="%7."/>
      <w:lvlJc w:val="left"/>
      <w:pPr>
        <w:ind w:left="5157" w:hanging="360"/>
      </w:pPr>
    </w:lvl>
    <w:lvl w:ilvl="7" w:tplc="04100019" w:tentative="1">
      <w:start w:val="1"/>
      <w:numFmt w:val="lowerLetter"/>
      <w:lvlText w:val="%8."/>
      <w:lvlJc w:val="left"/>
      <w:pPr>
        <w:ind w:left="5877" w:hanging="360"/>
      </w:pPr>
    </w:lvl>
    <w:lvl w:ilvl="8" w:tplc="0410001B" w:tentative="1">
      <w:start w:val="1"/>
      <w:numFmt w:val="lowerRoman"/>
      <w:lvlText w:val="%9."/>
      <w:lvlJc w:val="right"/>
      <w:pPr>
        <w:ind w:left="6597" w:hanging="180"/>
      </w:pPr>
    </w:lvl>
  </w:abstractNum>
  <w:abstractNum w:abstractNumId="3" w15:restartNumberingAfterBreak="0">
    <w:nsid w:val="08E02A80"/>
    <w:multiLevelType w:val="hybridMultilevel"/>
    <w:tmpl w:val="6AE8BFBC"/>
    <w:lvl w:ilvl="0" w:tplc="04100001">
      <w:start w:val="1"/>
      <w:numFmt w:val="bullet"/>
      <w:lvlText w:val=""/>
      <w:lvlJc w:val="left"/>
      <w:pPr>
        <w:ind w:left="837" w:hanging="360"/>
      </w:pPr>
      <w:rPr>
        <w:rFonts w:ascii="Symbol" w:hAnsi="Symbol" w:hint="default"/>
      </w:rPr>
    </w:lvl>
    <w:lvl w:ilvl="1" w:tplc="04100003" w:tentative="1">
      <w:start w:val="1"/>
      <w:numFmt w:val="bullet"/>
      <w:lvlText w:val="o"/>
      <w:lvlJc w:val="left"/>
      <w:pPr>
        <w:ind w:left="1557" w:hanging="360"/>
      </w:pPr>
      <w:rPr>
        <w:rFonts w:ascii="Courier New" w:hAnsi="Courier New" w:cs="Courier New" w:hint="default"/>
      </w:rPr>
    </w:lvl>
    <w:lvl w:ilvl="2" w:tplc="04100005" w:tentative="1">
      <w:start w:val="1"/>
      <w:numFmt w:val="bullet"/>
      <w:lvlText w:val=""/>
      <w:lvlJc w:val="left"/>
      <w:pPr>
        <w:ind w:left="2277" w:hanging="360"/>
      </w:pPr>
      <w:rPr>
        <w:rFonts w:ascii="Wingdings" w:hAnsi="Wingdings" w:hint="default"/>
      </w:rPr>
    </w:lvl>
    <w:lvl w:ilvl="3" w:tplc="04100001" w:tentative="1">
      <w:start w:val="1"/>
      <w:numFmt w:val="bullet"/>
      <w:lvlText w:val=""/>
      <w:lvlJc w:val="left"/>
      <w:pPr>
        <w:ind w:left="2997" w:hanging="360"/>
      </w:pPr>
      <w:rPr>
        <w:rFonts w:ascii="Symbol" w:hAnsi="Symbol" w:hint="default"/>
      </w:rPr>
    </w:lvl>
    <w:lvl w:ilvl="4" w:tplc="04100003" w:tentative="1">
      <w:start w:val="1"/>
      <w:numFmt w:val="bullet"/>
      <w:lvlText w:val="o"/>
      <w:lvlJc w:val="left"/>
      <w:pPr>
        <w:ind w:left="3717" w:hanging="360"/>
      </w:pPr>
      <w:rPr>
        <w:rFonts w:ascii="Courier New" w:hAnsi="Courier New" w:cs="Courier New" w:hint="default"/>
      </w:rPr>
    </w:lvl>
    <w:lvl w:ilvl="5" w:tplc="04100005" w:tentative="1">
      <w:start w:val="1"/>
      <w:numFmt w:val="bullet"/>
      <w:lvlText w:val=""/>
      <w:lvlJc w:val="left"/>
      <w:pPr>
        <w:ind w:left="4437" w:hanging="360"/>
      </w:pPr>
      <w:rPr>
        <w:rFonts w:ascii="Wingdings" w:hAnsi="Wingdings" w:hint="default"/>
      </w:rPr>
    </w:lvl>
    <w:lvl w:ilvl="6" w:tplc="04100001" w:tentative="1">
      <w:start w:val="1"/>
      <w:numFmt w:val="bullet"/>
      <w:lvlText w:val=""/>
      <w:lvlJc w:val="left"/>
      <w:pPr>
        <w:ind w:left="5157" w:hanging="360"/>
      </w:pPr>
      <w:rPr>
        <w:rFonts w:ascii="Symbol" w:hAnsi="Symbol" w:hint="default"/>
      </w:rPr>
    </w:lvl>
    <w:lvl w:ilvl="7" w:tplc="04100003" w:tentative="1">
      <w:start w:val="1"/>
      <w:numFmt w:val="bullet"/>
      <w:lvlText w:val="o"/>
      <w:lvlJc w:val="left"/>
      <w:pPr>
        <w:ind w:left="5877" w:hanging="360"/>
      </w:pPr>
      <w:rPr>
        <w:rFonts w:ascii="Courier New" w:hAnsi="Courier New" w:cs="Courier New" w:hint="default"/>
      </w:rPr>
    </w:lvl>
    <w:lvl w:ilvl="8" w:tplc="04100005" w:tentative="1">
      <w:start w:val="1"/>
      <w:numFmt w:val="bullet"/>
      <w:lvlText w:val=""/>
      <w:lvlJc w:val="left"/>
      <w:pPr>
        <w:ind w:left="6597" w:hanging="360"/>
      </w:pPr>
      <w:rPr>
        <w:rFonts w:ascii="Wingdings" w:hAnsi="Wingdings" w:hint="default"/>
      </w:rPr>
    </w:lvl>
  </w:abstractNum>
  <w:abstractNum w:abstractNumId="4" w15:restartNumberingAfterBreak="0">
    <w:nsid w:val="0AEB0FCD"/>
    <w:multiLevelType w:val="hybridMultilevel"/>
    <w:tmpl w:val="01402CEE"/>
    <w:lvl w:ilvl="0" w:tplc="7C1261F8">
      <w:start w:val="1"/>
      <w:numFmt w:val="bullet"/>
      <w:lvlText w:val="-"/>
      <w:lvlJc w:val="left"/>
      <w:pPr>
        <w:ind w:left="720" w:hanging="360"/>
      </w:pPr>
      <w:rPr>
        <w:rFonts w:ascii="Verdana" w:eastAsia="Times New Roman" w:hAnsi="Verdana" w:hint="default"/>
      </w:rPr>
    </w:lvl>
    <w:lvl w:ilvl="1" w:tplc="04100003">
      <w:start w:val="1"/>
      <w:numFmt w:val="bullet"/>
      <w:lvlText w:val="o"/>
      <w:lvlJc w:val="left"/>
      <w:pPr>
        <w:ind w:left="1440" w:hanging="360"/>
      </w:pPr>
      <w:rPr>
        <w:rFonts w:ascii="Courier New" w:hAnsi="Courier New" w:cs="Times New Roman" w:hint="default"/>
      </w:rPr>
    </w:lvl>
    <w:lvl w:ilvl="2" w:tplc="04100005">
      <w:start w:val="1"/>
      <w:numFmt w:val="bullet"/>
      <w:lvlText w:val=""/>
      <w:lvlJc w:val="left"/>
      <w:pPr>
        <w:ind w:left="2160" w:hanging="360"/>
      </w:pPr>
      <w:rPr>
        <w:rFonts w:ascii="Wingdings" w:hAnsi="Wingdings" w:cs="Wingdings" w:hint="default"/>
      </w:rPr>
    </w:lvl>
    <w:lvl w:ilvl="3" w:tplc="04100001">
      <w:start w:val="1"/>
      <w:numFmt w:val="bullet"/>
      <w:lvlText w:val=""/>
      <w:lvlJc w:val="left"/>
      <w:pPr>
        <w:ind w:left="2880" w:hanging="360"/>
      </w:pPr>
      <w:rPr>
        <w:rFonts w:ascii="Symbol" w:hAnsi="Symbol" w:cs="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cs="Wingdings" w:hint="default"/>
      </w:rPr>
    </w:lvl>
    <w:lvl w:ilvl="6" w:tplc="04100001">
      <w:start w:val="1"/>
      <w:numFmt w:val="bullet"/>
      <w:lvlText w:val=""/>
      <w:lvlJc w:val="left"/>
      <w:pPr>
        <w:ind w:left="5040" w:hanging="360"/>
      </w:pPr>
      <w:rPr>
        <w:rFonts w:ascii="Symbol" w:hAnsi="Symbol" w:cs="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cs="Wingdings" w:hint="default"/>
      </w:rPr>
    </w:lvl>
  </w:abstractNum>
  <w:abstractNum w:abstractNumId="5" w15:restartNumberingAfterBreak="0">
    <w:nsid w:val="0C4A29AE"/>
    <w:multiLevelType w:val="hybridMultilevel"/>
    <w:tmpl w:val="8230CD0C"/>
    <w:lvl w:ilvl="0" w:tplc="3C18C70A">
      <w:start w:val="1"/>
      <w:numFmt w:val="decimal"/>
      <w:lvlText w:val="%1)"/>
      <w:lvlJc w:val="left"/>
      <w:pPr>
        <w:ind w:left="477" w:hanging="360"/>
      </w:pPr>
      <w:rPr>
        <w:rFonts w:hint="default"/>
      </w:rPr>
    </w:lvl>
    <w:lvl w:ilvl="1" w:tplc="04100019" w:tentative="1">
      <w:start w:val="1"/>
      <w:numFmt w:val="lowerLetter"/>
      <w:lvlText w:val="%2."/>
      <w:lvlJc w:val="left"/>
      <w:pPr>
        <w:ind w:left="1197" w:hanging="360"/>
      </w:pPr>
    </w:lvl>
    <w:lvl w:ilvl="2" w:tplc="0410001B" w:tentative="1">
      <w:start w:val="1"/>
      <w:numFmt w:val="lowerRoman"/>
      <w:lvlText w:val="%3."/>
      <w:lvlJc w:val="right"/>
      <w:pPr>
        <w:ind w:left="1917" w:hanging="180"/>
      </w:pPr>
    </w:lvl>
    <w:lvl w:ilvl="3" w:tplc="0410000F" w:tentative="1">
      <w:start w:val="1"/>
      <w:numFmt w:val="decimal"/>
      <w:lvlText w:val="%4."/>
      <w:lvlJc w:val="left"/>
      <w:pPr>
        <w:ind w:left="2637" w:hanging="360"/>
      </w:pPr>
    </w:lvl>
    <w:lvl w:ilvl="4" w:tplc="04100019" w:tentative="1">
      <w:start w:val="1"/>
      <w:numFmt w:val="lowerLetter"/>
      <w:lvlText w:val="%5."/>
      <w:lvlJc w:val="left"/>
      <w:pPr>
        <w:ind w:left="3357" w:hanging="360"/>
      </w:pPr>
    </w:lvl>
    <w:lvl w:ilvl="5" w:tplc="0410001B" w:tentative="1">
      <w:start w:val="1"/>
      <w:numFmt w:val="lowerRoman"/>
      <w:lvlText w:val="%6."/>
      <w:lvlJc w:val="right"/>
      <w:pPr>
        <w:ind w:left="4077" w:hanging="180"/>
      </w:pPr>
    </w:lvl>
    <w:lvl w:ilvl="6" w:tplc="0410000F" w:tentative="1">
      <w:start w:val="1"/>
      <w:numFmt w:val="decimal"/>
      <w:lvlText w:val="%7."/>
      <w:lvlJc w:val="left"/>
      <w:pPr>
        <w:ind w:left="4797" w:hanging="360"/>
      </w:pPr>
    </w:lvl>
    <w:lvl w:ilvl="7" w:tplc="04100019" w:tentative="1">
      <w:start w:val="1"/>
      <w:numFmt w:val="lowerLetter"/>
      <w:lvlText w:val="%8."/>
      <w:lvlJc w:val="left"/>
      <w:pPr>
        <w:ind w:left="5517" w:hanging="360"/>
      </w:pPr>
    </w:lvl>
    <w:lvl w:ilvl="8" w:tplc="0410001B" w:tentative="1">
      <w:start w:val="1"/>
      <w:numFmt w:val="lowerRoman"/>
      <w:lvlText w:val="%9."/>
      <w:lvlJc w:val="right"/>
      <w:pPr>
        <w:ind w:left="6237" w:hanging="180"/>
      </w:pPr>
    </w:lvl>
  </w:abstractNum>
  <w:abstractNum w:abstractNumId="6" w15:restartNumberingAfterBreak="0">
    <w:nsid w:val="0D34265B"/>
    <w:multiLevelType w:val="hybridMultilevel"/>
    <w:tmpl w:val="61D22176"/>
    <w:lvl w:ilvl="0" w:tplc="313AEB10">
      <w:start w:val="1"/>
      <w:numFmt w:val="upperLetter"/>
      <w:lvlText w:val="%1)"/>
      <w:lvlJc w:val="left"/>
      <w:pPr>
        <w:ind w:left="477" w:hanging="360"/>
      </w:pPr>
      <w:rPr>
        <w:rFonts w:hint="default"/>
        <w:b/>
      </w:rPr>
    </w:lvl>
    <w:lvl w:ilvl="1" w:tplc="04100019" w:tentative="1">
      <w:start w:val="1"/>
      <w:numFmt w:val="lowerLetter"/>
      <w:lvlText w:val="%2."/>
      <w:lvlJc w:val="left"/>
      <w:pPr>
        <w:ind w:left="1197" w:hanging="360"/>
      </w:pPr>
    </w:lvl>
    <w:lvl w:ilvl="2" w:tplc="0410001B" w:tentative="1">
      <w:start w:val="1"/>
      <w:numFmt w:val="lowerRoman"/>
      <w:lvlText w:val="%3."/>
      <w:lvlJc w:val="right"/>
      <w:pPr>
        <w:ind w:left="1917" w:hanging="180"/>
      </w:pPr>
    </w:lvl>
    <w:lvl w:ilvl="3" w:tplc="0410000F" w:tentative="1">
      <w:start w:val="1"/>
      <w:numFmt w:val="decimal"/>
      <w:lvlText w:val="%4."/>
      <w:lvlJc w:val="left"/>
      <w:pPr>
        <w:ind w:left="2637" w:hanging="360"/>
      </w:pPr>
    </w:lvl>
    <w:lvl w:ilvl="4" w:tplc="04100019" w:tentative="1">
      <w:start w:val="1"/>
      <w:numFmt w:val="lowerLetter"/>
      <w:lvlText w:val="%5."/>
      <w:lvlJc w:val="left"/>
      <w:pPr>
        <w:ind w:left="3357" w:hanging="360"/>
      </w:pPr>
    </w:lvl>
    <w:lvl w:ilvl="5" w:tplc="0410001B" w:tentative="1">
      <w:start w:val="1"/>
      <w:numFmt w:val="lowerRoman"/>
      <w:lvlText w:val="%6."/>
      <w:lvlJc w:val="right"/>
      <w:pPr>
        <w:ind w:left="4077" w:hanging="180"/>
      </w:pPr>
    </w:lvl>
    <w:lvl w:ilvl="6" w:tplc="0410000F" w:tentative="1">
      <w:start w:val="1"/>
      <w:numFmt w:val="decimal"/>
      <w:lvlText w:val="%7."/>
      <w:lvlJc w:val="left"/>
      <w:pPr>
        <w:ind w:left="4797" w:hanging="360"/>
      </w:pPr>
    </w:lvl>
    <w:lvl w:ilvl="7" w:tplc="04100019" w:tentative="1">
      <w:start w:val="1"/>
      <w:numFmt w:val="lowerLetter"/>
      <w:lvlText w:val="%8."/>
      <w:lvlJc w:val="left"/>
      <w:pPr>
        <w:ind w:left="5517" w:hanging="360"/>
      </w:pPr>
    </w:lvl>
    <w:lvl w:ilvl="8" w:tplc="0410001B" w:tentative="1">
      <w:start w:val="1"/>
      <w:numFmt w:val="lowerRoman"/>
      <w:lvlText w:val="%9."/>
      <w:lvlJc w:val="right"/>
      <w:pPr>
        <w:ind w:left="6237" w:hanging="180"/>
      </w:pPr>
    </w:lvl>
  </w:abstractNum>
  <w:abstractNum w:abstractNumId="7" w15:restartNumberingAfterBreak="0">
    <w:nsid w:val="17363142"/>
    <w:multiLevelType w:val="hybridMultilevel"/>
    <w:tmpl w:val="C540AF1C"/>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17536F83"/>
    <w:multiLevelType w:val="hybridMultilevel"/>
    <w:tmpl w:val="B8A4087C"/>
    <w:lvl w:ilvl="0" w:tplc="E6283E76">
      <w:start w:val="4"/>
      <w:numFmt w:val="bullet"/>
      <w:lvlText w:val="-"/>
      <w:lvlJc w:val="left"/>
      <w:pPr>
        <w:ind w:left="477" w:hanging="360"/>
      </w:pPr>
      <w:rPr>
        <w:rFonts w:ascii="Times New Roman" w:eastAsia="Times New Roman" w:hAnsi="Times New Roman" w:cs="Times New Roman" w:hint="default"/>
      </w:rPr>
    </w:lvl>
    <w:lvl w:ilvl="1" w:tplc="04100003" w:tentative="1">
      <w:start w:val="1"/>
      <w:numFmt w:val="bullet"/>
      <w:lvlText w:val="o"/>
      <w:lvlJc w:val="left"/>
      <w:pPr>
        <w:ind w:left="1197" w:hanging="360"/>
      </w:pPr>
      <w:rPr>
        <w:rFonts w:ascii="Courier New" w:hAnsi="Courier New" w:cs="Courier New" w:hint="default"/>
      </w:rPr>
    </w:lvl>
    <w:lvl w:ilvl="2" w:tplc="04100005" w:tentative="1">
      <w:start w:val="1"/>
      <w:numFmt w:val="bullet"/>
      <w:lvlText w:val=""/>
      <w:lvlJc w:val="left"/>
      <w:pPr>
        <w:ind w:left="1917" w:hanging="360"/>
      </w:pPr>
      <w:rPr>
        <w:rFonts w:ascii="Wingdings" w:hAnsi="Wingdings" w:hint="default"/>
      </w:rPr>
    </w:lvl>
    <w:lvl w:ilvl="3" w:tplc="04100001" w:tentative="1">
      <w:start w:val="1"/>
      <w:numFmt w:val="bullet"/>
      <w:lvlText w:val=""/>
      <w:lvlJc w:val="left"/>
      <w:pPr>
        <w:ind w:left="2637" w:hanging="360"/>
      </w:pPr>
      <w:rPr>
        <w:rFonts w:ascii="Symbol" w:hAnsi="Symbol" w:hint="default"/>
      </w:rPr>
    </w:lvl>
    <w:lvl w:ilvl="4" w:tplc="04100003" w:tentative="1">
      <w:start w:val="1"/>
      <w:numFmt w:val="bullet"/>
      <w:lvlText w:val="o"/>
      <w:lvlJc w:val="left"/>
      <w:pPr>
        <w:ind w:left="3357" w:hanging="360"/>
      </w:pPr>
      <w:rPr>
        <w:rFonts w:ascii="Courier New" w:hAnsi="Courier New" w:cs="Courier New" w:hint="default"/>
      </w:rPr>
    </w:lvl>
    <w:lvl w:ilvl="5" w:tplc="04100005" w:tentative="1">
      <w:start w:val="1"/>
      <w:numFmt w:val="bullet"/>
      <w:lvlText w:val=""/>
      <w:lvlJc w:val="left"/>
      <w:pPr>
        <w:ind w:left="4077" w:hanging="360"/>
      </w:pPr>
      <w:rPr>
        <w:rFonts w:ascii="Wingdings" w:hAnsi="Wingdings" w:hint="default"/>
      </w:rPr>
    </w:lvl>
    <w:lvl w:ilvl="6" w:tplc="04100001" w:tentative="1">
      <w:start w:val="1"/>
      <w:numFmt w:val="bullet"/>
      <w:lvlText w:val=""/>
      <w:lvlJc w:val="left"/>
      <w:pPr>
        <w:ind w:left="4797" w:hanging="360"/>
      </w:pPr>
      <w:rPr>
        <w:rFonts w:ascii="Symbol" w:hAnsi="Symbol" w:hint="default"/>
      </w:rPr>
    </w:lvl>
    <w:lvl w:ilvl="7" w:tplc="04100003" w:tentative="1">
      <w:start w:val="1"/>
      <w:numFmt w:val="bullet"/>
      <w:lvlText w:val="o"/>
      <w:lvlJc w:val="left"/>
      <w:pPr>
        <w:ind w:left="5517" w:hanging="360"/>
      </w:pPr>
      <w:rPr>
        <w:rFonts w:ascii="Courier New" w:hAnsi="Courier New" w:cs="Courier New" w:hint="default"/>
      </w:rPr>
    </w:lvl>
    <w:lvl w:ilvl="8" w:tplc="04100005" w:tentative="1">
      <w:start w:val="1"/>
      <w:numFmt w:val="bullet"/>
      <w:lvlText w:val=""/>
      <w:lvlJc w:val="left"/>
      <w:pPr>
        <w:ind w:left="6237" w:hanging="360"/>
      </w:pPr>
      <w:rPr>
        <w:rFonts w:ascii="Wingdings" w:hAnsi="Wingdings" w:hint="default"/>
      </w:rPr>
    </w:lvl>
  </w:abstractNum>
  <w:abstractNum w:abstractNumId="9" w15:restartNumberingAfterBreak="0">
    <w:nsid w:val="17A955F6"/>
    <w:multiLevelType w:val="hybridMultilevel"/>
    <w:tmpl w:val="A39ACEDC"/>
    <w:lvl w:ilvl="0" w:tplc="FBA45D10">
      <w:numFmt w:val="bullet"/>
      <w:lvlText w:val="-"/>
      <w:lvlJc w:val="left"/>
      <w:pPr>
        <w:ind w:left="502" w:hanging="360"/>
      </w:pPr>
      <w:rPr>
        <w:rFonts w:ascii="Times New Roman" w:eastAsia="Times New Roman" w:hAnsi="Times New Roman" w:cs="Times New Roman" w:hint="default"/>
      </w:rPr>
    </w:lvl>
    <w:lvl w:ilvl="1" w:tplc="04100003" w:tentative="1">
      <w:start w:val="1"/>
      <w:numFmt w:val="bullet"/>
      <w:lvlText w:val="o"/>
      <w:lvlJc w:val="left"/>
      <w:pPr>
        <w:ind w:left="1197" w:hanging="360"/>
      </w:pPr>
      <w:rPr>
        <w:rFonts w:ascii="Courier New" w:hAnsi="Courier New" w:cs="Courier New" w:hint="default"/>
      </w:rPr>
    </w:lvl>
    <w:lvl w:ilvl="2" w:tplc="04100005" w:tentative="1">
      <w:start w:val="1"/>
      <w:numFmt w:val="bullet"/>
      <w:lvlText w:val=""/>
      <w:lvlJc w:val="left"/>
      <w:pPr>
        <w:ind w:left="1917" w:hanging="360"/>
      </w:pPr>
      <w:rPr>
        <w:rFonts w:ascii="Wingdings" w:hAnsi="Wingdings" w:hint="default"/>
      </w:rPr>
    </w:lvl>
    <w:lvl w:ilvl="3" w:tplc="04100001" w:tentative="1">
      <w:start w:val="1"/>
      <w:numFmt w:val="bullet"/>
      <w:lvlText w:val=""/>
      <w:lvlJc w:val="left"/>
      <w:pPr>
        <w:ind w:left="2637" w:hanging="360"/>
      </w:pPr>
      <w:rPr>
        <w:rFonts w:ascii="Symbol" w:hAnsi="Symbol" w:hint="default"/>
      </w:rPr>
    </w:lvl>
    <w:lvl w:ilvl="4" w:tplc="04100003" w:tentative="1">
      <w:start w:val="1"/>
      <w:numFmt w:val="bullet"/>
      <w:lvlText w:val="o"/>
      <w:lvlJc w:val="left"/>
      <w:pPr>
        <w:ind w:left="3357" w:hanging="360"/>
      </w:pPr>
      <w:rPr>
        <w:rFonts w:ascii="Courier New" w:hAnsi="Courier New" w:cs="Courier New" w:hint="default"/>
      </w:rPr>
    </w:lvl>
    <w:lvl w:ilvl="5" w:tplc="04100005" w:tentative="1">
      <w:start w:val="1"/>
      <w:numFmt w:val="bullet"/>
      <w:lvlText w:val=""/>
      <w:lvlJc w:val="left"/>
      <w:pPr>
        <w:ind w:left="4077" w:hanging="360"/>
      </w:pPr>
      <w:rPr>
        <w:rFonts w:ascii="Wingdings" w:hAnsi="Wingdings" w:hint="default"/>
      </w:rPr>
    </w:lvl>
    <w:lvl w:ilvl="6" w:tplc="04100001" w:tentative="1">
      <w:start w:val="1"/>
      <w:numFmt w:val="bullet"/>
      <w:lvlText w:val=""/>
      <w:lvlJc w:val="left"/>
      <w:pPr>
        <w:ind w:left="4797" w:hanging="360"/>
      </w:pPr>
      <w:rPr>
        <w:rFonts w:ascii="Symbol" w:hAnsi="Symbol" w:hint="default"/>
      </w:rPr>
    </w:lvl>
    <w:lvl w:ilvl="7" w:tplc="04100003" w:tentative="1">
      <w:start w:val="1"/>
      <w:numFmt w:val="bullet"/>
      <w:lvlText w:val="o"/>
      <w:lvlJc w:val="left"/>
      <w:pPr>
        <w:ind w:left="5517" w:hanging="360"/>
      </w:pPr>
      <w:rPr>
        <w:rFonts w:ascii="Courier New" w:hAnsi="Courier New" w:cs="Courier New" w:hint="default"/>
      </w:rPr>
    </w:lvl>
    <w:lvl w:ilvl="8" w:tplc="04100005" w:tentative="1">
      <w:start w:val="1"/>
      <w:numFmt w:val="bullet"/>
      <w:lvlText w:val=""/>
      <w:lvlJc w:val="left"/>
      <w:pPr>
        <w:ind w:left="6237" w:hanging="360"/>
      </w:pPr>
      <w:rPr>
        <w:rFonts w:ascii="Wingdings" w:hAnsi="Wingdings" w:hint="default"/>
      </w:rPr>
    </w:lvl>
  </w:abstractNum>
  <w:abstractNum w:abstractNumId="10" w15:restartNumberingAfterBreak="0">
    <w:nsid w:val="190C0732"/>
    <w:multiLevelType w:val="hybridMultilevel"/>
    <w:tmpl w:val="B69AAD0A"/>
    <w:lvl w:ilvl="0" w:tplc="E7600A0C">
      <w:start w:val="1"/>
      <w:numFmt w:val="upperLetter"/>
      <w:lvlText w:val="%1)"/>
      <w:lvlJc w:val="left"/>
      <w:pPr>
        <w:ind w:left="477" w:hanging="360"/>
      </w:pPr>
      <w:rPr>
        <w:rFonts w:hint="default"/>
        <w:b/>
      </w:rPr>
    </w:lvl>
    <w:lvl w:ilvl="1" w:tplc="04100019" w:tentative="1">
      <w:start w:val="1"/>
      <w:numFmt w:val="lowerLetter"/>
      <w:lvlText w:val="%2."/>
      <w:lvlJc w:val="left"/>
      <w:pPr>
        <w:ind w:left="1197" w:hanging="360"/>
      </w:pPr>
    </w:lvl>
    <w:lvl w:ilvl="2" w:tplc="0410001B" w:tentative="1">
      <w:start w:val="1"/>
      <w:numFmt w:val="lowerRoman"/>
      <w:lvlText w:val="%3."/>
      <w:lvlJc w:val="right"/>
      <w:pPr>
        <w:ind w:left="1917" w:hanging="180"/>
      </w:pPr>
    </w:lvl>
    <w:lvl w:ilvl="3" w:tplc="0410000F" w:tentative="1">
      <w:start w:val="1"/>
      <w:numFmt w:val="decimal"/>
      <w:lvlText w:val="%4."/>
      <w:lvlJc w:val="left"/>
      <w:pPr>
        <w:ind w:left="2637" w:hanging="360"/>
      </w:pPr>
    </w:lvl>
    <w:lvl w:ilvl="4" w:tplc="04100019" w:tentative="1">
      <w:start w:val="1"/>
      <w:numFmt w:val="lowerLetter"/>
      <w:lvlText w:val="%5."/>
      <w:lvlJc w:val="left"/>
      <w:pPr>
        <w:ind w:left="3357" w:hanging="360"/>
      </w:pPr>
    </w:lvl>
    <w:lvl w:ilvl="5" w:tplc="0410001B" w:tentative="1">
      <w:start w:val="1"/>
      <w:numFmt w:val="lowerRoman"/>
      <w:lvlText w:val="%6."/>
      <w:lvlJc w:val="right"/>
      <w:pPr>
        <w:ind w:left="4077" w:hanging="180"/>
      </w:pPr>
    </w:lvl>
    <w:lvl w:ilvl="6" w:tplc="0410000F" w:tentative="1">
      <w:start w:val="1"/>
      <w:numFmt w:val="decimal"/>
      <w:lvlText w:val="%7."/>
      <w:lvlJc w:val="left"/>
      <w:pPr>
        <w:ind w:left="4797" w:hanging="360"/>
      </w:pPr>
    </w:lvl>
    <w:lvl w:ilvl="7" w:tplc="04100019" w:tentative="1">
      <w:start w:val="1"/>
      <w:numFmt w:val="lowerLetter"/>
      <w:lvlText w:val="%8."/>
      <w:lvlJc w:val="left"/>
      <w:pPr>
        <w:ind w:left="5517" w:hanging="360"/>
      </w:pPr>
    </w:lvl>
    <w:lvl w:ilvl="8" w:tplc="0410001B" w:tentative="1">
      <w:start w:val="1"/>
      <w:numFmt w:val="lowerRoman"/>
      <w:lvlText w:val="%9."/>
      <w:lvlJc w:val="right"/>
      <w:pPr>
        <w:ind w:left="6237" w:hanging="180"/>
      </w:pPr>
    </w:lvl>
  </w:abstractNum>
  <w:abstractNum w:abstractNumId="11" w15:restartNumberingAfterBreak="0">
    <w:nsid w:val="1B2C1D94"/>
    <w:multiLevelType w:val="hybridMultilevel"/>
    <w:tmpl w:val="CD5CEFE6"/>
    <w:lvl w:ilvl="0" w:tplc="04100001">
      <w:start w:val="1"/>
      <w:numFmt w:val="bullet"/>
      <w:lvlText w:val=""/>
      <w:lvlJc w:val="left"/>
      <w:pPr>
        <w:ind w:left="837" w:hanging="360"/>
      </w:pPr>
      <w:rPr>
        <w:rFonts w:ascii="Symbol" w:hAnsi="Symbol" w:hint="default"/>
      </w:rPr>
    </w:lvl>
    <w:lvl w:ilvl="1" w:tplc="04100003" w:tentative="1">
      <w:start w:val="1"/>
      <w:numFmt w:val="bullet"/>
      <w:lvlText w:val="o"/>
      <w:lvlJc w:val="left"/>
      <w:pPr>
        <w:ind w:left="1557" w:hanging="360"/>
      </w:pPr>
      <w:rPr>
        <w:rFonts w:ascii="Courier New" w:hAnsi="Courier New" w:cs="Courier New" w:hint="default"/>
      </w:rPr>
    </w:lvl>
    <w:lvl w:ilvl="2" w:tplc="04100005" w:tentative="1">
      <w:start w:val="1"/>
      <w:numFmt w:val="bullet"/>
      <w:lvlText w:val=""/>
      <w:lvlJc w:val="left"/>
      <w:pPr>
        <w:ind w:left="2277" w:hanging="360"/>
      </w:pPr>
      <w:rPr>
        <w:rFonts w:ascii="Wingdings" w:hAnsi="Wingdings" w:hint="default"/>
      </w:rPr>
    </w:lvl>
    <w:lvl w:ilvl="3" w:tplc="04100001" w:tentative="1">
      <w:start w:val="1"/>
      <w:numFmt w:val="bullet"/>
      <w:lvlText w:val=""/>
      <w:lvlJc w:val="left"/>
      <w:pPr>
        <w:ind w:left="2997" w:hanging="360"/>
      </w:pPr>
      <w:rPr>
        <w:rFonts w:ascii="Symbol" w:hAnsi="Symbol" w:hint="default"/>
      </w:rPr>
    </w:lvl>
    <w:lvl w:ilvl="4" w:tplc="04100003" w:tentative="1">
      <w:start w:val="1"/>
      <w:numFmt w:val="bullet"/>
      <w:lvlText w:val="o"/>
      <w:lvlJc w:val="left"/>
      <w:pPr>
        <w:ind w:left="3717" w:hanging="360"/>
      </w:pPr>
      <w:rPr>
        <w:rFonts w:ascii="Courier New" w:hAnsi="Courier New" w:cs="Courier New" w:hint="default"/>
      </w:rPr>
    </w:lvl>
    <w:lvl w:ilvl="5" w:tplc="04100005" w:tentative="1">
      <w:start w:val="1"/>
      <w:numFmt w:val="bullet"/>
      <w:lvlText w:val=""/>
      <w:lvlJc w:val="left"/>
      <w:pPr>
        <w:ind w:left="4437" w:hanging="360"/>
      </w:pPr>
      <w:rPr>
        <w:rFonts w:ascii="Wingdings" w:hAnsi="Wingdings" w:hint="default"/>
      </w:rPr>
    </w:lvl>
    <w:lvl w:ilvl="6" w:tplc="04100001" w:tentative="1">
      <w:start w:val="1"/>
      <w:numFmt w:val="bullet"/>
      <w:lvlText w:val=""/>
      <w:lvlJc w:val="left"/>
      <w:pPr>
        <w:ind w:left="5157" w:hanging="360"/>
      </w:pPr>
      <w:rPr>
        <w:rFonts w:ascii="Symbol" w:hAnsi="Symbol" w:hint="default"/>
      </w:rPr>
    </w:lvl>
    <w:lvl w:ilvl="7" w:tplc="04100003" w:tentative="1">
      <w:start w:val="1"/>
      <w:numFmt w:val="bullet"/>
      <w:lvlText w:val="o"/>
      <w:lvlJc w:val="left"/>
      <w:pPr>
        <w:ind w:left="5877" w:hanging="360"/>
      </w:pPr>
      <w:rPr>
        <w:rFonts w:ascii="Courier New" w:hAnsi="Courier New" w:cs="Courier New" w:hint="default"/>
      </w:rPr>
    </w:lvl>
    <w:lvl w:ilvl="8" w:tplc="04100005" w:tentative="1">
      <w:start w:val="1"/>
      <w:numFmt w:val="bullet"/>
      <w:lvlText w:val=""/>
      <w:lvlJc w:val="left"/>
      <w:pPr>
        <w:ind w:left="6597" w:hanging="360"/>
      </w:pPr>
      <w:rPr>
        <w:rFonts w:ascii="Wingdings" w:hAnsi="Wingdings" w:hint="default"/>
      </w:rPr>
    </w:lvl>
  </w:abstractNum>
  <w:abstractNum w:abstractNumId="12" w15:restartNumberingAfterBreak="0">
    <w:nsid w:val="2FEC29DB"/>
    <w:multiLevelType w:val="hybridMultilevel"/>
    <w:tmpl w:val="FBE4222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34364C5C"/>
    <w:multiLevelType w:val="hybridMultilevel"/>
    <w:tmpl w:val="63FE9028"/>
    <w:lvl w:ilvl="0" w:tplc="306AD2AC">
      <w:start w:val="1"/>
      <w:numFmt w:val="lowerLetter"/>
      <w:lvlText w:val="%1)"/>
      <w:lvlJc w:val="left"/>
      <w:pPr>
        <w:ind w:left="594" w:hanging="360"/>
      </w:pPr>
      <w:rPr>
        <w:rFonts w:hint="default"/>
      </w:rPr>
    </w:lvl>
    <w:lvl w:ilvl="1" w:tplc="04100019" w:tentative="1">
      <w:start w:val="1"/>
      <w:numFmt w:val="lowerLetter"/>
      <w:lvlText w:val="%2."/>
      <w:lvlJc w:val="left"/>
      <w:pPr>
        <w:ind w:left="1557" w:hanging="360"/>
      </w:pPr>
    </w:lvl>
    <w:lvl w:ilvl="2" w:tplc="0410001B" w:tentative="1">
      <w:start w:val="1"/>
      <w:numFmt w:val="lowerRoman"/>
      <w:lvlText w:val="%3."/>
      <w:lvlJc w:val="right"/>
      <w:pPr>
        <w:ind w:left="2277" w:hanging="180"/>
      </w:pPr>
    </w:lvl>
    <w:lvl w:ilvl="3" w:tplc="0410000F" w:tentative="1">
      <w:start w:val="1"/>
      <w:numFmt w:val="decimal"/>
      <w:lvlText w:val="%4."/>
      <w:lvlJc w:val="left"/>
      <w:pPr>
        <w:ind w:left="2997" w:hanging="360"/>
      </w:pPr>
    </w:lvl>
    <w:lvl w:ilvl="4" w:tplc="04100019" w:tentative="1">
      <w:start w:val="1"/>
      <w:numFmt w:val="lowerLetter"/>
      <w:lvlText w:val="%5."/>
      <w:lvlJc w:val="left"/>
      <w:pPr>
        <w:ind w:left="3717" w:hanging="360"/>
      </w:pPr>
    </w:lvl>
    <w:lvl w:ilvl="5" w:tplc="0410001B" w:tentative="1">
      <w:start w:val="1"/>
      <w:numFmt w:val="lowerRoman"/>
      <w:lvlText w:val="%6."/>
      <w:lvlJc w:val="right"/>
      <w:pPr>
        <w:ind w:left="4437" w:hanging="180"/>
      </w:pPr>
    </w:lvl>
    <w:lvl w:ilvl="6" w:tplc="0410000F" w:tentative="1">
      <w:start w:val="1"/>
      <w:numFmt w:val="decimal"/>
      <w:lvlText w:val="%7."/>
      <w:lvlJc w:val="left"/>
      <w:pPr>
        <w:ind w:left="5157" w:hanging="360"/>
      </w:pPr>
    </w:lvl>
    <w:lvl w:ilvl="7" w:tplc="04100019" w:tentative="1">
      <w:start w:val="1"/>
      <w:numFmt w:val="lowerLetter"/>
      <w:lvlText w:val="%8."/>
      <w:lvlJc w:val="left"/>
      <w:pPr>
        <w:ind w:left="5877" w:hanging="360"/>
      </w:pPr>
    </w:lvl>
    <w:lvl w:ilvl="8" w:tplc="0410001B" w:tentative="1">
      <w:start w:val="1"/>
      <w:numFmt w:val="lowerRoman"/>
      <w:lvlText w:val="%9."/>
      <w:lvlJc w:val="right"/>
      <w:pPr>
        <w:ind w:left="6597" w:hanging="180"/>
      </w:pPr>
    </w:lvl>
  </w:abstractNum>
  <w:abstractNum w:abstractNumId="14" w15:restartNumberingAfterBreak="0">
    <w:nsid w:val="3932689E"/>
    <w:multiLevelType w:val="hybridMultilevel"/>
    <w:tmpl w:val="721E5B1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3C0723D8"/>
    <w:multiLevelType w:val="hybridMultilevel"/>
    <w:tmpl w:val="730C22D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3E156EEB"/>
    <w:multiLevelType w:val="hybridMultilevel"/>
    <w:tmpl w:val="13D89398"/>
    <w:lvl w:ilvl="0" w:tplc="FBA45D10">
      <w:numFmt w:val="bullet"/>
      <w:lvlText w:val="-"/>
      <w:lvlJc w:val="left"/>
      <w:pPr>
        <w:ind w:left="502" w:hanging="360"/>
      </w:pPr>
      <w:rPr>
        <w:rFonts w:ascii="Times New Roman" w:eastAsia="Times New Roman"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419A0367"/>
    <w:multiLevelType w:val="hybridMultilevel"/>
    <w:tmpl w:val="507C2098"/>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42AD2315"/>
    <w:multiLevelType w:val="hybridMultilevel"/>
    <w:tmpl w:val="4CAE1026"/>
    <w:lvl w:ilvl="0" w:tplc="FBA45D10">
      <w:numFmt w:val="bullet"/>
      <w:lvlText w:val="-"/>
      <w:lvlJc w:val="left"/>
      <w:pPr>
        <w:ind w:left="502"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45243826"/>
    <w:multiLevelType w:val="hybridMultilevel"/>
    <w:tmpl w:val="5A2E117A"/>
    <w:lvl w:ilvl="0" w:tplc="7620361C">
      <w:start w:val="1"/>
      <w:numFmt w:val="lowerLetter"/>
      <w:lvlText w:val="%1)"/>
      <w:lvlJc w:val="left"/>
      <w:pPr>
        <w:ind w:left="477" w:hanging="360"/>
      </w:pPr>
      <w:rPr>
        <w:rFonts w:hint="default"/>
        <w:b/>
      </w:rPr>
    </w:lvl>
    <w:lvl w:ilvl="1" w:tplc="04100019" w:tentative="1">
      <w:start w:val="1"/>
      <w:numFmt w:val="lowerLetter"/>
      <w:lvlText w:val="%2."/>
      <w:lvlJc w:val="left"/>
      <w:pPr>
        <w:ind w:left="1197" w:hanging="360"/>
      </w:pPr>
    </w:lvl>
    <w:lvl w:ilvl="2" w:tplc="0410001B" w:tentative="1">
      <w:start w:val="1"/>
      <w:numFmt w:val="lowerRoman"/>
      <w:lvlText w:val="%3."/>
      <w:lvlJc w:val="right"/>
      <w:pPr>
        <w:ind w:left="1917" w:hanging="180"/>
      </w:pPr>
    </w:lvl>
    <w:lvl w:ilvl="3" w:tplc="0410000F" w:tentative="1">
      <w:start w:val="1"/>
      <w:numFmt w:val="decimal"/>
      <w:lvlText w:val="%4."/>
      <w:lvlJc w:val="left"/>
      <w:pPr>
        <w:ind w:left="2637" w:hanging="360"/>
      </w:pPr>
    </w:lvl>
    <w:lvl w:ilvl="4" w:tplc="04100019" w:tentative="1">
      <w:start w:val="1"/>
      <w:numFmt w:val="lowerLetter"/>
      <w:lvlText w:val="%5."/>
      <w:lvlJc w:val="left"/>
      <w:pPr>
        <w:ind w:left="3357" w:hanging="360"/>
      </w:pPr>
    </w:lvl>
    <w:lvl w:ilvl="5" w:tplc="0410001B" w:tentative="1">
      <w:start w:val="1"/>
      <w:numFmt w:val="lowerRoman"/>
      <w:lvlText w:val="%6."/>
      <w:lvlJc w:val="right"/>
      <w:pPr>
        <w:ind w:left="4077" w:hanging="180"/>
      </w:pPr>
    </w:lvl>
    <w:lvl w:ilvl="6" w:tplc="0410000F" w:tentative="1">
      <w:start w:val="1"/>
      <w:numFmt w:val="decimal"/>
      <w:lvlText w:val="%7."/>
      <w:lvlJc w:val="left"/>
      <w:pPr>
        <w:ind w:left="4797" w:hanging="360"/>
      </w:pPr>
    </w:lvl>
    <w:lvl w:ilvl="7" w:tplc="04100019" w:tentative="1">
      <w:start w:val="1"/>
      <w:numFmt w:val="lowerLetter"/>
      <w:lvlText w:val="%8."/>
      <w:lvlJc w:val="left"/>
      <w:pPr>
        <w:ind w:left="5517" w:hanging="360"/>
      </w:pPr>
    </w:lvl>
    <w:lvl w:ilvl="8" w:tplc="0410001B" w:tentative="1">
      <w:start w:val="1"/>
      <w:numFmt w:val="lowerRoman"/>
      <w:lvlText w:val="%9."/>
      <w:lvlJc w:val="right"/>
      <w:pPr>
        <w:ind w:left="6237" w:hanging="180"/>
      </w:pPr>
    </w:lvl>
  </w:abstractNum>
  <w:abstractNum w:abstractNumId="20" w15:restartNumberingAfterBreak="0">
    <w:nsid w:val="45812E21"/>
    <w:multiLevelType w:val="hybridMultilevel"/>
    <w:tmpl w:val="7228D09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6433984"/>
    <w:multiLevelType w:val="hybridMultilevel"/>
    <w:tmpl w:val="CEA41196"/>
    <w:lvl w:ilvl="0" w:tplc="313AEB10">
      <w:start w:val="1"/>
      <w:numFmt w:val="upp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934105"/>
    <w:multiLevelType w:val="hybridMultilevel"/>
    <w:tmpl w:val="2E9A150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49FA39F4"/>
    <w:multiLevelType w:val="hybridMultilevel"/>
    <w:tmpl w:val="E46ECBE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4B857E1A"/>
    <w:multiLevelType w:val="hybridMultilevel"/>
    <w:tmpl w:val="16F8953A"/>
    <w:lvl w:ilvl="0" w:tplc="FBA45D10">
      <w:numFmt w:val="bullet"/>
      <w:lvlText w:val="-"/>
      <w:lvlJc w:val="left"/>
      <w:pPr>
        <w:ind w:left="619" w:hanging="360"/>
      </w:pPr>
      <w:rPr>
        <w:rFonts w:ascii="Times New Roman" w:eastAsia="Times New Roman" w:hAnsi="Times New Roman" w:cs="Times New Roman" w:hint="default"/>
      </w:rPr>
    </w:lvl>
    <w:lvl w:ilvl="1" w:tplc="04100003" w:tentative="1">
      <w:start w:val="1"/>
      <w:numFmt w:val="bullet"/>
      <w:lvlText w:val="o"/>
      <w:lvlJc w:val="left"/>
      <w:pPr>
        <w:ind w:left="1557" w:hanging="360"/>
      </w:pPr>
      <w:rPr>
        <w:rFonts w:ascii="Courier New" w:hAnsi="Courier New" w:cs="Courier New" w:hint="default"/>
      </w:rPr>
    </w:lvl>
    <w:lvl w:ilvl="2" w:tplc="04100005" w:tentative="1">
      <w:start w:val="1"/>
      <w:numFmt w:val="bullet"/>
      <w:lvlText w:val=""/>
      <w:lvlJc w:val="left"/>
      <w:pPr>
        <w:ind w:left="2277" w:hanging="360"/>
      </w:pPr>
      <w:rPr>
        <w:rFonts w:ascii="Wingdings" w:hAnsi="Wingdings" w:hint="default"/>
      </w:rPr>
    </w:lvl>
    <w:lvl w:ilvl="3" w:tplc="04100001" w:tentative="1">
      <w:start w:val="1"/>
      <w:numFmt w:val="bullet"/>
      <w:lvlText w:val=""/>
      <w:lvlJc w:val="left"/>
      <w:pPr>
        <w:ind w:left="2997" w:hanging="360"/>
      </w:pPr>
      <w:rPr>
        <w:rFonts w:ascii="Symbol" w:hAnsi="Symbol" w:hint="default"/>
      </w:rPr>
    </w:lvl>
    <w:lvl w:ilvl="4" w:tplc="04100003" w:tentative="1">
      <w:start w:val="1"/>
      <w:numFmt w:val="bullet"/>
      <w:lvlText w:val="o"/>
      <w:lvlJc w:val="left"/>
      <w:pPr>
        <w:ind w:left="3717" w:hanging="360"/>
      </w:pPr>
      <w:rPr>
        <w:rFonts w:ascii="Courier New" w:hAnsi="Courier New" w:cs="Courier New" w:hint="default"/>
      </w:rPr>
    </w:lvl>
    <w:lvl w:ilvl="5" w:tplc="04100005" w:tentative="1">
      <w:start w:val="1"/>
      <w:numFmt w:val="bullet"/>
      <w:lvlText w:val=""/>
      <w:lvlJc w:val="left"/>
      <w:pPr>
        <w:ind w:left="4437" w:hanging="360"/>
      </w:pPr>
      <w:rPr>
        <w:rFonts w:ascii="Wingdings" w:hAnsi="Wingdings" w:hint="default"/>
      </w:rPr>
    </w:lvl>
    <w:lvl w:ilvl="6" w:tplc="04100001" w:tentative="1">
      <w:start w:val="1"/>
      <w:numFmt w:val="bullet"/>
      <w:lvlText w:val=""/>
      <w:lvlJc w:val="left"/>
      <w:pPr>
        <w:ind w:left="5157" w:hanging="360"/>
      </w:pPr>
      <w:rPr>
        <w:rFonts w:ascii="Symbol" w:hAnsi="Symbol" w:hint="default"/>
      </w:rPr>
    </w:lvl>
    <w:lvl w:ilvl="7" w:tplc="04100003" w:tentative="1">
      <w:start w:val="1"/>
      <w:numFmt w:val="bullet"/>
      <w:lvlText w:val="o"/>
      <w:lvlJc w:val="left"/>
      <w:pPr>
        <w:ind w:left="5877" w:hanging="360"/>
      </w:pPr>
      <w:rPr>
        <w:rFonts w:ascii="Courier New" w:hAnsi="Courier New" w:cs="Courier New" w:hint="default"/>
      </w:rPr>
    </w:lvl>
    <w:lvl w:ilvl="8" w:tplc="04100005" w:tentative="1">
      <w:start w:val="1"/>
      <w:numFmt w:val="bullet"/>
      <w:lvlText w:val=""/>
      <w:lvlJc w:val="left"/>
      <w:pPr>
        <w:ind w:left="6597" w:hanging="360"/>
      </w:pPr>
      <w:rPr>
        <w:rFonts w:ascii="Wingdings" w:hAnsi="Wingdings" w:hint="default"/>
      </w:rPr>
    </w:lvl>
  </w:abstractNum>
  <w:abstractNum w:abstractNumId="25" w15:restartNumberingAfterBreak="0">
    <w:nsid w:val="4DA90EEC"/>
    <w:multiLevelType w:val="hybridMultilevel"/>
    <w:tmpl w:val="4E3E055E"/>
    <w:lvl w:ilvl="0" w:tplc="04100001">
      <w:start w:val="1"/>
      <w:numFmt w:val="bullet"/>
      <w:lvlText w:val=""/>
      <w:lvlJc w:val="left"/>
      <w:pPr>
        <w:ind w:left="837" w:hanging="360"/>
      </w:pPr>
      <w:rPr>
        <w:rFonts w:ascii="Symbol" w:hAnsi="Symbol" w:hint="default"/>
      </w:rPr>
    </w:lvl>
    <w:lvl w:ilvl="1" w:tplc="04100003" w:tentative="1">
      <w:start w:val="1"/>
      <w:numFmt w:val="bullet"/>
      <w:lvlText w:val="o"/>
      <w:lvlJc w:val="left"/>
      <w:pPr>
        <w:ind w:left="1557" w:hanging="360"/>
      </w:pPr>
      <w:rPr>
        <w:rFonts w:ascii="Courier New" w:hAnsi="Courier New" w:cs="Courier New" w:hint="default"/>
      </w:rPr>
    </w:lvl>
    <w:lvl w:ilvl="2" w:tplc="04100005" w:tentative="1">
      <w:start w:val="1"/>
      <w:numFmt w:val="bullet"/>
      <w:lvlText w:val=""/>
      <w:lvlJc w:val="left"/>
      <w:pPr>
        <w:ind w:left="2277" w:hanging="360"/>
      </w:pPr>
      <w:rPr>
        <w:rFonts w:ascii="Wingdings" w:hAnsi="Wingdings" w:hint="default"/>
      </w:rPr>
    </w:lvl>
    <w:lvl w:ilvl="3" w:tplc="04100001" w:tentative="1">
      <w:start w:val="1"/>
      <w:numFmt w:val="bullet"/>
      <w:lvlText w:val=""/>
      <w:lvlJc w:val="left"/>
      <w:pPr>
        <w:ind w:left="2997" w:hanging="360"/>
      </w:pPr>
      <w:rPr>
        <w:rFonts w:ascii="Symbol" w:hAnsi="Symbol" w:hint="default"/>
      </w:rPr>
    </w:lvl>
    <w:lvl w:ilvl="4" w:tplc="04100003" w:tentative="1">
      <w:start w:val="1"/>
      <w:numFmt w:val="bullet"/>
      <w:lvlText w:val="o"/>
      <w:lvlJc w:val="left"/>
      <w:pPr>
        <w:ind w:left="3717" w:hanging="360"/>
      </w:pPr>
      <w:rPr>
        <w:rFonts w:ascii="Courier New" w:hAnsi="Courier New" w:cs="Courier New" w:hint="default"/>
      </w:rPr>
    </w:lvl>
    <w:lvl w:ilvl="5" w:tplc="04100005" w:tentative="1">
      <w:start w:val="1"/>
      <w:numFmt w:val="bullet"/>
      <w:lvlText w:val=""/>
      <w:lvlJc w:val="left"/>
      <w:pPr>
        <w:ind w:left="4437" w:hanging="360"/>
      </w:pPr>
      <w:rPr>
        <w:rFonts w:ascii="Wingdings" w:hAnsi="Wingdings" w:hint="default"/>
      </w:rPr>
    </w:lvl>
    <w:lvl w:ilvl="6" w:tplc="04100001" w:tentative="1">
      <w:start w:val="1"/>
      <w:numFmt w:val="bullet"/>
      <w:lvlText w:val=""/>
      <w:lvlJc w:val="left"/>
      <w:pPr>
        <w:ind w:left="5157" w:hanging="360"/>
      </w:pPr>
      <w:rPr>
        <w:rFonts w:ascii="Symbol" w:hAnsi="Symbol" w:hint="default"/>
      </w:rPr>
    </w:lvl>
    <w:lvl w:ilvl="7" w:tplc="04100003" w:tentative="1">
      <w:start w:val="1"/>
      <w:numFmt w:val="bullet"/>
      <w:lvlText w:val="o"/>
      <w:lvlJc w:val="left"/>
      <w:pPr>
        <w:ind w:left="5877" w:hanging="360"/>
      </w:pPr>
      <w:rPr>
        <w:rFonts w:ascii="Courier New" w:hAnsi="Courier New" w:cs="Courier New" w:hint="default"/>
      </w:rPr>
    </w:lvl>
    <w:lvl w:ilvl="8" w:tplc="04100005" w:tentative="1">
      <w:start w:val="1"/>
      <w:numFmt w:val="bullet"/>
      <w:lvlText w:val=""/>
      <w:lvlJc w:val="left"/>
      <w:pPr>
        <w:ind w:left="6597" w:hanging="360"/>
      </w:pPr>
      <w:rPr>
        <w:rFonts w:ascii="Wingdings" w:hAnsi="Wingdings" w:hint="default"/>
      </w:rPr>
    </w:lvl>
  </w:abstractNum>
  <w:abstractNum w:abstractNumId="26" w15:restartNumberingAfterBreak="0">
    <w:nsid w:val="4FAB29D3"/>
    <w:multiLevelType w:val="hybridMultilevel"/>
    <w:tmpl w:val="FD984684"/>
    <w:lvl w:ilvl="0" w:tplc="F300EE7E">
      <w:start w:val="1"/>
      <w:numFmt w:val="lowerLetter"/>
      <w:lvlText w:val="%1)"/>
      <w:lvlJc w:val="left"/>
      <w:pPr>
        <w:ind w:left="477" w:hanging="360"/>
      </w:pPr>
      <w:rPr>
        <w:rFonts w:hint="default"/>
      </w:rPr>
    </w:lvl>
    <w:lvl w:ilvl="1" w:tplc="04100019" w:tentative="1">
      <w:start w:val="1"/>
      <w:numFmt w:val="lowerLetter"/>
      <w:lvlText w:val="%2."/>
      <w:lvlJc w:val="left"/>
      <w:pPr>
        <w:ind w:left="1197" w:hanging="360"/>
      </w:pPr>
    </w:lvl>
    <w:lvl w:ilvl="2" w:tplc="0410001B" w:tentative="1">
      <w:start w:val="1"/>
      <w:numFmt w:val="lowerRoman"/>
      <w:lvlText w:val="%3."/>
      <w:lvlJc w:val="right"/>
      <w:pPr>
        <w:ind w:left="1917" w:hanging="180"/>
      </w:pPr>
    </w:lvl>
    <w:lvl w:ilvl="3" w:tplc="0410000F" w:tentative="1">
      <w:start w:val="1"/>
      <w:numFmt w:val="decimal"/>
      <w:lvlText w:val="%4."/>
      <w:lvlJc w:val="left"/>
      <w:pPr>
        <w:ind w:left="2637" w:hanging="360"/>
      </w:pPr>
    </w:lvl>
    <w:lvl w:ilvl="4" w:tplc="04100019" w:tentative="1">
      <w:start w:val="1"/>
      <w:numFmt w:val="lowerLetter"/>
      <w:lvlText w:val="%5."/>
      <w:lvlJc w:val="left"/>
      <w:pPr>
        <w:ind w:left="3357" w:hanging="360"/>
      </w:pPr>
    </w:lvl>
    <w:lvl w:ilvl="5" w:tplc="0410001B" w:tentative="1">
      <w:start w:val="1"/>
      <w:numFmt w:val="lowerRoman"/>
      <w:lvlText w:val="%6."/>
      <w:lvlJc w:val="right"/>
      <w:pPr>
        <w:ind w:left="4077" w:hanging="180"/>
      </w:pPr>
    </w:lvl>
    <w:lvl w:ilvl="6" w:tplc="0410000F" w:tentative="1">
      <w:start w:val="1"/>
      <w:numFmt w:val="decimal"/>
      <w:lvlText w:val="%7."/>
      <w:lvlJc w:val="left"/>
      <w:pPr>
        <w:ind w:left="4797" w:hanging="360"/>
      </w:pPr>
    </w:lvl>
    <w:lvl w:ilvl="7" w:tplc="04100019" w:tentative="1">
      <w:start w:val="1"/>
      <w:numFmt w:val="lowerLetter"/>
      <w:lvlText w:val="%8."/>
      <w:lvlJc w:val="left"/>
      <w:pPr>
        <w:ind w:left="5517" w:hanging="360"/>
      </w:pPr>
    </w:lvl>
    <w:lvl w:ilvl="8" w:tplc="0410001B" w:tentative="1">
      <w:start w:val="1"/>
      <w:numFmt w:val="lowerRoman"/>
      <w:lvlText w:val="%9."/>
      <w:lvlJc w:val="right"/>
      <w:pPr>
        <w:ind w:left="6237" w:hanging="180"/>
      </w:pPr>
    </w:lvl>
  </w:abstractNum>
  <w:abstractNum w:abstractNumId="27" w15:restartNumberingAfterBreak="0">
    <w:nsid w:val="512963BC"/>
    <w:multiLevelType w:val="hybridMultilevel"/>
    <w:tmpl w:val="C3E020F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5F2730B4"/>
    <w:multiLevelType w:val="multilevel"/>
    <w:tmpl w:val="55D2CB3C"/>
    <w:lvl w:ilvl="0">
      <w:start w:val="1"/>
      <w:numFmt w:val="decimal"/>
      <w:pStyle w:val="Titolo1"/>
      <w:lvlText w:val="%1."/>
      <w:lvlJc w:val="left"/>
      <w:pPr>
        <w:tabs>
          <w:tab w:val="num" w:pos="720"/>
        </w:tabs>
        <w:ind w:left="720" w:hanging="720"/>
      </w:pPr>
    </w:lvl>
    <w:lvl w:ilvl="1">
      <w:start w:val="1"/>
      <w:numFmt w:val="decimal"/>
      <w:pStyle w:val="Titolo2"/>
      <w:lvlText w:val="%2."/>
      <w:lvlJc w:val="left"/>
      <w:pPr>
        <w:tabs>
          <w:tab w:val="num" w:pos="1440"/>
        </w:tabs>
        <w:ind w:left="1440" w:hanging="720"/>
      </w:pPr>
    </w:lvl>
    <w:lvl w:ilvl="2">
      <w:start w:val="1"/>
      <w:numFmt w:val="decimal"/>
      <w:pStyle w:val="Titolo3"/>
      <w:lvlText w:val="%3."/>
      <w:lvlJc w:val="left"/>
      <w:pPr>
        <w:tabs>
          <w:tab w:val="num" w:pos="2160"/>
        </w:tabs>
        <w:ind w:left="2160" w:hanging="720"/>
      </w:pPr>
    </w:lvl>
    <w:lvl w:ilvl="3">
      <w:start w:val="1"/>
      <w:numFmt w:val="decimal"/>
      <w:pStyle w:val="Titolo4"/>
      <w:lvlText w:val="%4."/>
      <w:lvlJc w:val="left"/>
      <w:pPr>
        <w:tabs>
          <w:tab w:val="num" w:pos="2880"/>
        </w:tabs>
        <w:ind w:left="2880" w:hanging="720"/>
      </w:pPr>
    </w:lvl>
    <w:lvl w:ilvl="4">
      <w:start w:val="1"/>
      <w:numFmt w:val="decimal"/>
      <w:pStyle w:val="Titolo5"/>
      <w:lvlText w:val="%5."/>
      <w:lvlJc w:val="left"/>
      <w:pPr>
        <w:tabs>
          <w:tab w:val="num" w:pos="3600"/>
        </w:tabs>
        <w:ind w:left="3600" w:hanging="720"/>
      </w:pPr>
    </w:lvl>
    <w:lvl w:ilvl="5">
      <w:start w:val="1"/>
      <w:numFmt w:val="decimal"/>
      <w:pStyle w:val="Titolo6"/>
      <w:lvlText w:val="%6."/>
      <w:lvlJc w:val="left"/>
      <w:pPr>
        <w:tabs>
          <w:tab w:val="num" w:pos="4320"/>
        </w:tabs>
        <w:ind w:left="4320" w:hanging="720"/>
      </w:pPr>
    </w:lvl>
    <w:lvl w:ilvl="6">
      <w:start w:val="1"/>
      <w:numFmt w:val="decimal"/>
      <w:pStyle w:val="Titolo7"/>
      <w:lvlText w:val="%7."/>
      <w:lvlJc w:val="left"/>
      <w:pPr>
        <w:tabs>
          <w:tab w:val="num" w:pos="5040"/>
        </w:tabs>
        <w:ind w:left="5040" w:hanging="720"/>
      </w:pPr>
    </w:lvl>
    <w:lvl w:ilvl="7">
      <w:start w:val="1"/>
      <w:numFmt w:val="decimal"/>
      <w:pStyle w:val="Titolo8"/>
      <w:lvlText w:val="%8."/>
      <w:lvlJc w:val="left"/>
      <w:pPr>
        <w:tabs>
          <w:tab w:val="num" w:pos="5760"/>
        </w:tabs>
        <w:ind w:left="5760" w:hanging="720"/>
      </w:pPr>
    </w:lvl>
    <w:lvl w:ilvl="8">
      <w:start w:val="1"/>
      <w:numFmt w:val="decimal"/>
      <w:pStyle w:val="Titolo9"/>
      <w:lvlText w:val="%9."/>
      <w:lvlJc w:val="left"/>
      <w:pPr>
        <w:tabs>
          <w:tab w:val="num" w:pos="6480"/>
        </w:tabs>
        <w:ind w:left="6480" w:hanging="720"/>
      </w:pPr>
    </w:lvl>
  </w:abstractNum>
  <w:abstractNum w:abstractNumId="29" w15:restartNumberingAfterBreak="0">
    <w:nsid w:val="614439B2"/>
    <w:multiLevelType w:val="hybridMultilevel"/>
    <w:tmpl w:val="59CC5C1C"/>
    <w:lvl w:ilvl="0" w:tplc="D73EF032">
      <w:start w:val="1"/>
      <w:numFmt w:val="lowerLetter"/>
      <w:lvlText w:val="%1)"/>
      <w:lvlJc w:val="left"/>
      <w:pPr>
        <w:ind w:left="477" w:hanging="360"/>
      </w:pPr>
      <w:rPr>
        <w:rFonts w:hint="default"/>
      </w:rPr>
    </w:lvl>
    <w:lvl w:ilvl="1" w:tplc="04100019" w:tentative="1">
      <w:start w:val="1"/>
      <w:numFmt w:val="lowerLetter"/>
      <w:lvlText w:val="%2."/>
      <w:lvlJc w:val="left"/>
      <w:pPr>
        <w:ind w:left="1197" w:hanging="360"/>
      </w:pPr>
    </w:lvl>
    <w:lvl w:ilvl="2" w:tplc="0410001B" w:tentative="1">
      <w:start w:val="1"/>
      <w:numFmt w:val="lowerRoman"/>
      <w:lvlText w:val="%3."/>
      <w:lvlJc w:val="right"/>
      <w:pPr>
        <w:ind w:left="1917" w:hanging="180"/>
      </w:pPr>
    </w:lvl>
    <w:lvl w:ilvl="3" w:tplc="0410000F" w:tentative="1">
      <w:start w:val="1"/>
      <w:numFmt w:val="decimal"/>
      <w:lvlText w:val="%4."/>
      <w:lvlJc w:val="left"/>
      <w:pPr>
        <w:ind w:left="2637" w:hanging="360"/>
      </w:pPr>
    </w:lvl>
    <w:lvl w:ilvl="4" w:tplc="04100019" w:tentative="1">
      <w:start w:val="1"/>
      <w:numFmt w:val="lowerLetter"/>
      <w:lvlText w:val="%5."/>
      <w:lvlJc w:val="left"/>
      <w:pPr>
        <w:ind w:left="3357" w:hanging="360"/>
      </w:pPr>
    </w:lvl>
    <w:lvl w:ilvl="5" w:tplc="0410001B" w:tentative="1">
      <w:start w:val="1"/>
      <w:numFmt w:val="lowerRoman"/>
      <w:lvlText w:val="%6."/>
      <w:lvlJc w:val="right"/>
      <w:pPr>
        <w:ind w:left="4077" w:hanging="180"/>
      </w:pPr>
    </w:lvl>
    <w:lvl w:ilvl="6" w:tplc="0410000F" w:tentative="1">
      <w:start w:val="1"/>
      <w:numFmt w:val="decimal"/>
      <w:lvlText w:val="%7."/>
      <w:lvlJc w:val="left"/>
      <w:pPr>
        <w:ind w:left="4797" w:hanging="360"/>
      </w:pPr>
    </w:lvl>
    <w:lvl w:ilvl="7" w:tplc="04100019" w:tentative="1">
      <w:start w:val="1"/>
      <w:numFmt w:val="lowerLetter"/>
      <w:lvlText w:val="%8."/>
      <w:lvlJc w:val="left"/>
      <w:pPr>
        <w:ind w:left="5517" w:hanging="360"/>
      </w:pPr>
    </w:lvl>
    <w:lvl w:ilvl="8" w:tplc="0410001B" w:tentative="1">
      <w:start w:val="1"/>
      <w:numFmt w:val="lowerRoman"/>
      <w:lvlText w:val="%9."/>
      <w:lvlJc w:val="right"/>
      <w:pPr>
        <w:ind w:left="6237" w:hanging="180"/>
      </w:pPr>
    </w:lvl>
  </w:abstractNum>
  <w:abstractNum w:abstractNumId="30" w15:restartNumberingAfterBreak="0">
    <w:nsid w:val="6B420748"/>
    <w:multiLevelType w:val="hybridMultilevel"/>
    <w:tmpl w:val="05FE2362"/>
    <w:lvl w:ilvl="0" w:tplc="F3FE0D4E">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6D1502E9"/>
    <w:multiLevelType w:val="hybridMultilevel"/>
    <w:tmpl w:val="04A8F584"/>
    <w:lvl w:ilvl="0" w:tplc="FE383600">
      <w:start w:val="3"/>
      <w:numFmt w:val="lowerLetter"/>
      <w:lvlText w:val="%1)"/>
      <w:lvlJc w:val="left"/>
      <w:pPr>
        <w:ind w:left="540" w:hanging="360"/>
      </w:pPr>
    </w:lvl>
    <w:lvl w:ilvl="1" w:tplc="04100019">
      <w:start w:val="1"/>
      <w:numFmt w:val="lowerLetter"/>
      <w:lvlText w:val="%2."/>
      <w:lvlJc w:val="left"/>
      <w:pPr>
        <w:ind w:left="1260" w:hanging="360"/>
      </w:pPr>
    </w:lvl>
    <w:lvl w:ilvl="2" w:tplc="0410001B">
      <w:start w:val="1"/>
      <w:numFmt w:val="lowerRoman"/>
      <w:lvlText w:val="%3."/>
      <w:lvlJc w:val="right"/>
      <w:pPr>
        <w:ind w:left="1980" w:hanging="180"/>
      </w:pPr>
    </w:lvl>
    <w:lvl w:ilvl="3" w:tplc="0410000F">
      <w:start w:val="1"/>
      <w:numFmt w:val="decimal"/>
      <w:lvlText w:val="%4."/>
      <w:lvlJc w:val="left"/>
      <w:pPr>
        <w:ind w:left="2700" w:hanging="360"/>
      </w:pPr>
    </w:lvl>
    <w:lvl w:ilvl="4" w:tplc="04100019">
      <w:start w:val="1"/>
      <w:numFmt w:val="lowerLetter"/>
      <w:lvlText w:val="%5."/>
      <w:lvlJc w:val="left"/>
      <w:pPr>
        <w:ind w:left="3420" w:hanging="360"/>
      </w:pPr>
    </w:lvl>
    <w:lvl w:ilvl="5" w:tplc="0410001B">
      <w:start w:val="1"/>
      <w:numFmt w:val="lowerRoman"/>
      <w:lvlText w:val="%6."/>
      <w:lvlJc w:val="right"/>
      <w:pPr>
        <w:ind w:left="4140" w:hanging="180"/>
      </w:pPr>
    </w:lvl>
    <w:lvl w:ilvl="6" w:tplc="0410000F">
      <w:start w:val="1"/>
      <w:numFmt w:val="decimal"/>
      <w:lvlText w:val="%7."/>
      <w:lvlJc w:val="left"/>
      <w:pPr>
        <w:ind w:left="4860" w:hanging="360"/>
      </w:pPr>
    </w:lvl>
    <w:lvl w:ilvl="7" w:tplc="04100019">
      <w:start w:val="1"/>
      <w:numFmt w:val="lowerLetter"/>
      <w:lvlText w:val="%8."/>
      <w:lvlJc w:val="left"/>
      <w:pPr>
        <w:ind w:left="5580" w:hanging="360"/>
      </w:pPr>
    </w:lvl>
    <w:lvl w:ilvl="8" w:tplc="0410001B">
      <w:start w:val="1"/>
      <w:numFmt w:val="lowerRoman"/>
      <w:lvlText w:val="%9."/>
      <w:lvlJc w:val="right"/>
      <w:pPr>
        <w:ind w:left="6300" w:hanging="180"/>
      </w:pPr>
    </w:lvl>
  </w:abstractNum>
  <w:abstractNum w:abstractNumId="32" w15:restartNumberingAfterBreak="0">
    <w:nsid w:val="717E4D41"/>
    <w:multiLevelType w:val="hybridMultilevel"/>
    <w:tmpl w:val="E3C0B910"/>
    <w:lvl w:ilvl="0" w:tplc="0EAADD1A">
      <w:start w:val="2"/>
      <w:numFmt w:val="decimal"/>
      <w:lvlText w:val="%1"/>
      <w:lvlJc w:val="left"/>
      <w:pPr>
        <w:ind w:left="1557" w:hanging="360"/>
      </w:pPr>
      <w:rPr>
        <w:rFonts w:hint="default"/>
      </w:rPr>
    </w:lvl>
    <w:lvl w:ilvl="1" w:tplc="04100019" w:tentative="1">
      <w:start w:val="1"/>
      <w:numFmt w:val="lowerLetter"/>
      <w:lvlText w:val="%2."/>
      <w:lvlJc w:val="left"/>
      <w:pPr>
        <w:ind w:left="2277" w:hanging="360"/>
      </w:pPr>
    </w:lvl>
    <w:lvl w:ilvl="2" w:tplc="0410001B" w:tentative="1">
      <w:start w:val="1"/>
      <w:numFmt w:val="lowerRoman"/>
      <w:lvlText w:val="%3."/>
      <w:lvlJc w:val="right"/>
      <w:pPr>
        <w:ind w:left="2997" w:hanging="180"/>
      </w:pPr>
    </w:lvl>
    <w:lvl w:ilvl="3" w:tplc="0410000F" w:tentative="1">
      <w:start w:val="1"/>
      <w:numFmt w:val="decimal"/>
      <w:lvlText w:val="%4."/>
      <w:lvlJc w:val="left"/>
      <w:pPr>
        <w:ind w:left="3717" w:hanging="360"/>
      </w:pPr>
    </w:lvl>
    <w:lvl w:ilvl="4" w:tplc="04100019" w:tentative="1">
      <w:start w:val="1"/>
      <w:numFmt w:val="lowerLetter"/>
      <w:lvlText w:val="%5."/>
      <w:lvlJc w:val="left"/>
      <w:pPr>
        <w:ind w:left="4437" w:hanging="360"/>
      </w:pPr>
    </w:lvl>
    <w:lvl w:ilvl="5" w:tplc="0410001B" w:tentative="1">
      <w:start w:val="1"/>
      <w:numFmt w:val="lowerRoman"/>
      <w:lvlText w:val="%6."/>
      <w:lvlJc w:val="right"/>
      <w:pPr>
        <w:ind w:left="5157" w:hanging="180"/>
      </w:pPr>
    </w:lvl>
    <w:lvl w:ilvl="6" w:tplc="0410000F" w:tentative="1">
      <w:start w:val="1"/>
      <w:numFmt w:val="decimal"/>
      <w:lvlText w:val="%7."/>
      <w:lvlJc w:val="left"/>
      <w:pPr>
        <w:ind w:left="5877" w:hanging="360"/>
      </w:pPr>
    </w:lvl>
    <w:lvl w:ilvl="7" w:tplc="04100019" w:tentative="1">
      <w:start w:val="1"/>
      <w:numFmt w:val="lowerLetter"/>
      <w:lvlText w:val="%8."/>
      <w:lvlJc w:val="left"/>
      <w:pPr>
        <w:ind w:left="6597" w:hanging="360"/>
      </w:pPr>
    </w:lvl>
    <w:lvl w:ilvl="8" w:tplc="0410001B" w:tentative="1">
      <w:start w:val="1"/>
      <w:numFmt w:val="lowerRoman"/>
      <w:lvlText w:val="%9."/>
      <w:lvlJc w:val="right"/>
      <w:pPr>
        <w:ind w:left="7317" w:hanging="180"/>
      </w:pPr>
    </w:lvl>
  </w:abstractNum>
  <w:abstractNum w:abstractNumId="33" w15:restartNumberingAfterBreak="0">
    <w:nsid w:val="73567A33"/>
    <w:multiLevelType w:val="hybridMultilevel"/>
    <w:tmpl w:val="59300242"/>
    <w:lvl w:ilvl="0" w:tplc="04100017">
      <w:start w:val="1"/>
      <w:numFmt w:val="lowerLetter"/>
      <w:lvlText w:val="%1)"/>
      <w:lvlJc w:val="left"/>
      <w:pPr>
        <w:ind w:left="837" w:hanging="360"/>
      </w:pPr>
    </w:lvl>
    <w:lvl w:ilvl="1" w:tplc="F9C47B6C">
      <w:start w:val="2"/>
      <w:numFmt w:val="decimal"/>
      <w:lvlText w:val="%2"/>
      <w:lvlJc w:val="left"/>
      <w:pPr>
        <w:ind w:left="1557" w:hanging="360"/>
      </w:pPr>
      <w:rPr>
        <w:rFonts w:hint="default"/>
      </w:rPr>
    </w:lvl>
    <w:lvl w:ilvl="2" w:tplc="199AA372">
      <w:start w:val="1"/>
      <w:numFmt w:val="decimal"/>
      <w:lvlText w:val="%3."/>
      <w:lvlJc w:val="left"/>
      <w:pPr>
        <w:ind w:left="2457" w:hanging="360"/>
      </w:pPr>
      <w:rPr>
        <w:rFonts w:hint="default"/>
      </w:rPr>
    </w:lvl>
    <w:lvl w:ilvl="3" w:tplc="0410000F" w:tentative="1">
      <w:start w:val="1"/>
      <w:numFmt w:val="decimal"/>
      <w:lvlText w:val="%4."/>
      <w:lvlJc w:val="left"/>
      <w:pPr>
        <w:ind w:left="2997" w:hanging="360"/>
      </w:pPr>
    </w:lvl>
    <w:lvl w:ilvl="4" w:tplc="04100019" w:tentative="1">
      <w:start w:val="1"/>
      <w:numFmt w:val="lowerLetter"/>
      <w:lvlText w:val="%5."/>
      <w:lvlJc w:val="left"/>
      <w:pPr>
        <w:ind w:left="3717" w:hanging="360"/>
      </w:pPr>
    </w:lvl>
    <w:lvl w:ilvl="5" w:tplc="0410001B" w:tentative="1">
      <w:start w:val="1"/>
      <w:numFmt w:val="lowerRoman"/>
      <w:lvlText w:val="%6."/>
      <w:lvlJc w:val="right"/>
      <w:pPr>
        <w:ind w:left="4437" w:hanging="180"/>
      </w:pPr>
    </w:lvl>
    <w:lvl w:ilvl="6" w:tplc="0410000F" w:tentative="1">
      <w:start w:val="1"/>
      <w:numFmt w:val="decimal"/>
      <w:lvlText w:val="%7."/>
      <w:lvlJc w:val="left"/>
      <w:pPr>
        <w:ind w:left="5157" w:hanging="360"/>
      </w:pPr>
    </w:lvl>
    <w:lvl w:ilvl="7" w:tplc="04100019" w:tentative="1">
      <w:start w:val="1"/>
      <w:numFmt w:val="lowerLetter"/>
      <w:lvlText w:val="%8."/>
      <w:lvlJc w:val="left"/>
      <w:pPr>
        <w:ind w:left="5877" w:hanging="360"/>
      </w:pPr>
    </w:lvl>
    <w:lvl w:ilvl="8" w:tplc="0410001B" w:tentative="1">
      <w:start w:val="1"/>
      <w:numFmt w:val="lowerRoman"/>
      <w:lvlText w:val="%9."/>
      <w:lvlJc w:val="right"/>
      <w:pPr>
        <w:ind w:left="6597" w:hanging="180"/>
      </w:pPr>
    </w:lvl>
  </w:abstractNum>
  <w:abstractNum w:abstractNumId="34" w15:restartNumberingAfterBreak="0">
    <w:nsid w:val="78DF501B"/>
    <w:multiLevelType w:val="hybridMultilevel"/>
    <w:tmpl w:val="E46ECBE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79254ADB"/>
    <w:multiLevelType w:val="hybridMultilevel"/>
    <w:tmpl w:val="3D96170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A061DDB"/>
    <w:multiLevelType w:val="hybridMultilevel"/>
    <w:tmpl w:val="07802DE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C730E46"/>
    <w:multiLevelType w:val="hybridMultilevel"/>
    <w:tmpl w:val="94D29F6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CEC4D95"/>
    <w:multiLevelType w:val="hybridMultilevel"/>
    <w:tmpl w:val="3D4E539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28"/>
  </w:num>
  <w:num w:numId="4">
    <w:abstractNumId w:val="5"/>
  </w:num>
  <w:num w:numId="5">
    <w:abstractNumId w:val="35"/>
  </w:num>
  <w:num w:numId="6">
    <w:abstractNumId w:val="0"/>
  </w:num>
  <w:num w:numId="7">
    <w:abstractNumId w:val="26"/>
  </w:num>
  <w:num w:numId="8">
    <w:abstractNumId w:val="25"/>
  </w:num>
  <w:num w:numId="9">
    <w:abstractNumId w:val="9"/>
  </w:num>
  <w:num w:numId="10">
    <w:abstractNumId w:val="23"/>
  </w:num>
  <w:num w:numId="11">
    <w:abstractNumId w:val="36"/>
  </w:num>
  <w:num w:numId="12">
    <w:abstractNumId w:val="8"/>
  </w:num>
  <w:num w:numId="13">
    <w:abstractNumId w:val="33"/>
  </w:num>
  <w:num w:numId="14">
    <w:abstractNumId w:val="29"/>
  </w:num>
  <w:num w:numId="15">
    <w:abstractNumId w:val="17"/>
  </w:num>
  <w:num w:numId="16">
    <w:abstractNumId w:val="2"/>
  </w:num>
  <w:num w:numId="17">
    <w:abstractNumId w:val="12"/>
  </w:num>
  <w:num w:numId="18">
    <w:abstractNumId w:val="19"/>
  </w:num>
  <w:num w:numId="19">
    <w:abstractNumId w:val="3"/>
  </w:num>
  <w:num w:numId="20">
    <w:abstractNumId w:val="11"/>
  </w:num>
  <w:num w:numId="21">
    <w:abstractNumId w:val="34"/>
  </w:num>
  <w:num w:numId="22">
    <w:abstractNumId w:val="32"/>
  </w:num>
  <w:num w:numId="23">
    <w:abstractNumId w:val="24"/>
  </w:num>
  <w:num w:numId="24">
    <w:abstractNumId w:val="16"/>
  </w:num>
  <w:num w:numId="25">
    <w:abstractNumId w:val="1"/>
  </w:num>
  <w:num w:numId="26">
    <w:abstractNumId w:val="13"/>
  </w:num>
  <w:num w:numId="27">
    <w:abstractNumId w:val="38"/>
  </w:num>
  <w:num w:numId="28">
    <w:abstractNumId w:val="6"/>
  </w:num>
  <w:num w:numId="29">
    <w:abstractNumId w:val="22"/>
  </w:num>
  <w:num w:numId="30">
    <w:abstractNumId w:val="15"/>
  </w:num>
  <w:num w:numId="31">
    <w:abstractNumId w:val="10"/>
  </w:num>
  <w:num w:numId="32">
    <w:abstractNumId w:val="21"/>
  </w:num>
  <w:num w:numId="33">
    <w:abstractNumId w:val="37"/>
  </w:num>
  <w:num w:numId="34">
    <w:abstractNumId w:val="27"/>
  </w:num>
  <w:num w:numId="35">
    <w:abstractNumId w:val="18"/>
  </w:num>
  <w:num w:numId="36">
    <w:abstractNumId w:val="30"/>
  </w:num>
  <w:num w:numId="37">
    <w:abstractNumId w:val="4"/>
    <w:lvlOverride w:ilvl="0"/>
    <w:lvlOverride w:ilvl="1"/>
    <w:lvlOverride w:ilvl="2"/>
    <w:lvlOverride w:ilvl="3"/>
    <w:lvlOverride w:ilvl="4"/>
    <w:lvlOverride w:ilvl="5"/>
    <w:lvlOverride w:ilvl="6"/>
    <w:lvlOverride w:ilvl="7"/>
    <w:lvlOverride w:ilvl="8"/>
  </w:num>
  <w:num w:numId="38">
    <w:abstractNumId w:val="3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hdrShapeDefaults>
    <o:shapedefaults v:ext="edit" spidmax="2063"/>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788F"/>
    <w:rsid w:val="00006E6F"/>
    <w:rsid w:val="000071A0"/>
    <w:rsid w:val="00083BF2"/>
    <w:rsid w:val="000B6A0F"/>
    <w:rsid w:val="001B1DE6"/>
    <w:rsid w:val="001B1E79"/>
    <w:rsid w:val="002B2252"/>
    <w:rsid w:val="002F38AB"/>
    <w:rsid w:val="0032445B"/>
    <w:rsid w:val="0036246A"/>
    <w:rsid w:val="004C620C"/>
    <w:rsid w:val="005E7542"/>
    <w:rsid w:val="00651D95"/>
    <w:rsid w:val="006A1F1E"/>
    <w:rsid w:val="0076788F"/>
    <w:rsid w:val="007A06E1"/>
    <w:rsid w:val="007B64CC"/>
    <w:rsid w:val="008F36B4"/>
    <w:rsid w:val="009B4CAB"/>
    <w:rsid w:val="009F66CC"/>
    <w:rsid w:val="00A938CC"/>
    <w:rsid w:val="00B66C38"/>
    <w:rsid w:val="00B754A6"/>
    <w:rsid w:val="00B809DF"/>
    <w:rsid w:val="00BB1BC8"/>
    <w:rsid w:val="00CC54B9"/>
    <w:rsid w:val="00D92AA5"/>
    <w:rsid w:val="00DA03D4"/>
    <w:rsid w:val="00E16D78"/>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63"/>
    <o:shapelayout v:ext="edit">
      <o:idmap v:ext="edit" data="1"/>
    </o:shapelayout>
  </w:shapeDefaults>
  <w:decimalSymbol w:val=","/>
  <w:listSeparator w:val=";"/>
  <w14:docId w14:val="7A3B152F"/>
  <w14:defaultImageDpi w14:val="300"/>
  <w15:docId w15:val="{CC6E6FA9-BFFA-46C6-A93B-AB34E35C3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1">
    <w:name w:val="heading 1"/>
    <w:basedOn w:val="Normale"/>
    <w:next w:val="Normale"/>
    <w:link w:val="Titolo1Carattere"/>
    <w:uiPriority w:val="9"/>
    <w:qFormat/>
    <w:rsid w:val="00BB1BC8"/>
    <w:pPr>
      <w:keepNext/>
      <w:numPr>
        <w:numId w:val="3"/>
      </w:numPr>
      <w:spacing w:before="240" w:after="60"/>
      <w:outlineLvl w:val="0"/>
    </w:pPr>
    <w:rPr>
      <w:rFonts w:asciiTheme="majorHAnsi" w:eastAsiaTheme="majorEastAsia" w:hAnsiTheme="majorHAnsi" w:cstheme="majorBidi"/>
      <w:b/>
      <w:bCs/>
      <w:kern w:val="32"/>
      <w:sz w:val="32"/>
      <w:szCs w:val="32"/>
      <w:lang w:val="en-US" w:eastAsia="en-US"/>
    </w:rPr>
  </w:style>
  <w:style w:type="paragraph" w:styleId="Titolo2">
    <w:name w:val="heading 2"/>
    <w:basedOn w:val="Normale"/>
    <w:next w:val="Normale"/>
    <w:link w:val="Titolo2Carattere"/>
    <w:uiPriority w:val="9"/>
    <w:semiHidden/>
    <w:unhideWhenUsed/>
    <w:qFormat/>
    <w:rsid w:val="00BB1BC8"/>
    <w:pPr>
      <w:keepNext/>
      <w:numPr>
        <w:ilvl w:val="1"/>
        <w:numId w:val="3"/>
      </w:numPr>
      <w:spacing w:before="240" w:after="60"/>
      <w:outlineLvl w:val="1"/>
    </w:pPr>
    <w:rPr>
      <w:rFonts w:asciiTheme="majorHAnsi" w:eastAsiaTheme="majorEastAsia" w:hAnsiTheme="majorHAnsi" w:cstheme="majorBidi"/>
      <w:b/>
      <w:bCs/>
      <w:i/>
      <w:iCs/>
      <w:sz w:val="28"/>
      <w:szCs w:val="28"/>
      <w:lang w:val="en-US" w:eastAsia="en-US"/>
    </w:rPr>
  </w:style>
  <w:style w:type="paragraph" w:styleId="Titolo3">
    <w:name w:val="heading 3"/>
    <w:basedOn w:val="Normale"/>
    <w:next w:val="Normale"/>
    <w:link w:val="Titolo3Carattere"/>
    <w:uiPriority w:val="9"/>
    <w:semiHidden/>
    <w:unhideWhenUsed/>
    <w:qFormat/>
    <w:rsid w:val="00BB1BC8"/>
    <w:pPr>
      <w:keepNext/>
      <w:numPr>
        <w:ilvl w:val="2"/>
        <w:numId w:val="3"/>
      </w:numPr>
      <w:spacing w:before="240" w:after="60"/>
      <w:outlineLvl w:val="2"/>
    </w:pPr>
    <w:rPr>
      <w:rFonts w:asciiTheme="majorHAnsi" w:eastAsiaTheme="majorEastAsia" w:hAnsiTheme="majorHAnsi" w:cstheme="majorBidi"/>
      <w:b/>
      <w:bCs/>
      <w:sz w:val="26"/>
      <w:szCs w:val="26"/>
      <w:lang w:val="en-US" w:eastAsia="en-US"/>
    </w:rPr>
  </w:style>
  <w:style w:type="paragraph" w:styleId="Titolo4">
    <w:name w:val="heading 4"/>
    <w:basedOn w:val="Normale"/>
    <w:next w:val="Normale"/>
    <w:link w:val="Titolo4Carattere"/>
    <w:uiPriority w:val="9"/>
    <w:semiHidden/>
    <w:unhideWhenUsed/>
    <w:qFormat/>
    <w:rsid w:val="00BB1BC8"/>
    <w:pPr>
      <w:keepNext/>
      <w:numPr>
        <w:ilvl w:val="3"/>
        <w:numId w:val="3"/>
      </w:numPr>
      <w:spacing w:before="240" w:after="60"/>
      <w:outlineLvl w:val="3"/>
    </w:pPr>
    <w:rPr>
      <w:b/>
      <w:bCs/>
      <w:sz w:val="28"/>
      <w:szCs w:val="28"/>
      <w:lang w:val="en-US" w:eastAsia="en-US"/>
    </w:rPr>
  </w:style>
  <w:style w:type="paragraph" w:styleId="Titolo5">
    <w:name w:val="heading 5"/>
    <w:basedOn w:val="Normale"/>
    <w:next w:val="Normale"/>
    <w:link w:val="Titolo5Carattere"/>
    <w:uiPriority w:val="9"/>
    <w:semiHidden/>
    <w:unhideWhenUsed/>
    <w:qFormat/>
    <w:rsid w:val="00BB1BC8"/>
    <w:pPr>
      <w:numPr>
        <w:ilvl w:val="4"/>
        <w:numId w:val="3"/>
      </w:numPr>
      <w:spacing w:before="240" w:after="60"/>
      <w:outlineLvl w:val="4"/>
    </w:pPr>
    <w:rPr>
      <w:b/>
      <w:bCs/>
      <w:i/>
      <w:iCs/>
      <w:sz w:val="26"/>
      <w:szCs w:val="26"/>
      <w:lang w:val="en-US" w:eastAsia="en-US"/>
    </w:rPr>
  </w:style>
  <w:style w:type="paragraph" w:styleId="Titolo6">
    <w:name w:val="heading 6"/>
    <w:basedOn w:val="Normale"/>
    <w:next w:val="Normale"/>
    <w:link w:val="Titolo6Carattere"/>
    <w:qFormat/>
    <w:rsid w:val="00BB1BC8"/>
    <w:pPr>
      <w:numPr>
        <w:ilvl w:val="5"/>
        <w:numId w:val="3"/>
      </w:numPr>
      <w:spacing w:before="240" w:after="60"/>
      <w:outlineLvl w:val="5"/>
    </w:pPr>
    <w:rPr>
      <w:rFonts w:ascii="Times New Roman" w:eastAsia="Times New Roman" w:hAnsi="Times New Roman" w:cs="Times New Roman"/>
      <w:b/>
      <w:bCs/>
      <w:sz w:val="22"/>
      <w:szCs w:val="22"/>
      <w:lang w:val="en-US" w:eastAsia="en-US"/>
    </w:rPr>
  </w:style>
  <w:style w:type="paragraph" w:styleId="Titolo7">
    <w:name w:val="heading 7"/>
    <w:basedOn w:val="Normale"/>
    <w:next w:val="Normale"/>
    <w:link w:val="Titolo7Carattere"/>
    <w:uiPriority w:val="9"/>
    <w:semiHidden/>
    <w:unhideWhenUsed/>
    <w:qFormat/>
    <w:rsid w:val="00BB1BC8"/>
    <w:pPr>
      <w:numPr>
        <w:ilvl w:val="6"/>
        <w:numId w:val="3"/>
      </w:numPr>
      <w:spacing w:before="240" w:after="60"/>
      <w:outlineLvl w:val="6"/>
    </w:pPr>
    <w:rPr>
      <w:lang w:val="en-US" w:eastAsia="en-US"/>
    </w:rPr>
  </w:style>
  <w:style w:type="paragraph" w:styleId="Titolo8">
    <w:name w:val="heading 8"/>
    <w:basedOn w:val="Normale"/>
    <w:next w:val="Normale"/>
    <w:link w:val="Titolo8Carattere"/>
    <w:uiPriority w:val="9"/>
    <w:semiHidden/>
    <w:unhideWhenUsed/>
    <w:qFormat/>
    <w:rsid w:val="00BB1BC8"/>
    <w:pPr>
      <w:numPr>
        <w:ilvl w:val="7"/>
        <w:numId w:val="3"/>
      </w:numPr>
      <w:spacing w:before="240" w:after="60"/>
      <w:outlineLvl w:val="7"/>
    </w:pPr>
    <w:rPr>
      <w:i/>
      <w:iCs/>
      <w:lang w:val="en-US" w:eastAsia="en-US"/>
    </w:rPr>
  </w:style>
  <w:style w:type="paragraph" w:styleId="Titolo9">
    <w:name w:val="heading 9"/>
    <w:basedOn w:val="Normale"/>
    <w:next w:val="Normale"/>
    <w:link w:val="Titolo9Carattere"/>
    <w:uiPriority w:val="9"/>
    <w:semiHidden/>
    <w:unhideWhenUsed/>
    <w:qFormat/>
    <w:rsid w:val="00BB1BC8"/>
    <w:pPr>
      <w:numPr>
        <w:ilvl w:val="8"/>
        <w:numId w:val="3"/>
      </w:numPr>
      <w:spacing w:before="240" w:after="60"/>
      <w:outlineLvl w:val="8"/>
    </w:pPr>
    <w:rPr>
      <w:rFonts w:asciiTheme="majorHAnsi" w:eastAsiaTheme="majorEastAsia" w:hAnsiTheme="majorHAnsi" w:cstheme="majorBidi"/>
      <w:sz w:val="22"/>
      <w:szCs w:val="22"/>
      <w:lang w:val="en-US"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Box">
    <w:name w:val="Box"/>
    <w:basedOn w:val="Normale"/>
    <w:qFormat/>
    <w:rsid w:val="00651D95"/>
    <w:pPr>
      <w:shd w:val="clear" w:color="auto" w:fill="F3F3F3"/>
      <w:spacing w:before="200" w:after="200" w:line="276" w:lineRule="auto"/>
    </w:pPr>
    <w:rPr>
      <w:sz w:val="20"/>
      <w:szCs w:val="20"/>
    </w:rPr>
  </w:style>
  <w:style w:type="table" w:customStyle="1" w:styleId="BERItabella1">
    <w:name w:val="BERI tabella 1"/>
    <w:basedOn w:val="Elencotabella3"/>
    <w:uiPriority w:val="99"/>
    <w:rsid w:val="00651D95"/>
    <w:rPr>
      <w:sz w:val="22"/>
      <w:szCs w:val="22"/>
    </w:rPr>
    <w:tblPr>
      <w:tblStyleRowBandSize w:val="1"/>
      <w:tblCellMar>
        <w:top w:w="113" w:type="dxa"/>
        <w:bottom w:w="113" w:type="dxa"/>
      </w:tblCellMar>
    </w:tblPr>
    <w:tcPr>
      <w:shd w:val="clear" w:color="auto" w:fill="auto"/>
    </w:tcPr>
    <w:tblStylePr w:type="firstRow">
      <w:rPr>
        <w:b/>
        <w:bCs/>
        <w:color w:val="FFFFFF" w:themeColor="background1"/>
      </w:rPr>
      <w:tblPr/>
      <w:tcPr>
        <w:tcBorders>
          <w:bottom w:val="single" w:sz="12" w:space="0" w:color="000000"/>
        </w:tcBorders>
        <w:shd w:val="clear" w:color="auto" w:fill="C70F12"/>
      </w:tcPr>
    </w:tblStylePr>
    <w:tblStylePr w:type="lastRow">
      <w:tblPr/>
      <w:tcPr>
        <w:tcBorders>
          <w:top w:val="single" w:sz="12" w:space="0" w:color="000000"/>
        </w:tcBorders>
      </w:tcPr>
    </w:tblStylePr>
    <w:tblStylePr w:type="band2Horz">
      <w:tblPr/>
      <w:tcPr>
        <w:tcBorders>
          <w:top w:val="nil"/>
          <w:left w:val="nil"/>
          <w:bottom w:val="nil"/>
          <w:right w:val="nil"/>
          <w:insideH w:val="nil"/>
          <w:insideV w:val="nil"/>
          <w:tl2br w:val="nil"/>
          <w:tr2bl w:val="nil"/>
        </w:tcBorders>
        <w:shd w:val="clear" w:color="auto" w:fill="F3F3F3"/>
      </w:tcPr>
    </w:tblStylePr>
    <w:tblStylePr w:type="swCell">
      <w:rPr>
        <w:i/>
        <w:iCs/>
        <w:color w:val="000080"/>
      </w:rPr>
    </w:tblStylePr>
  </w:style>
  <w:style w:type="table" w:styleId="Elencotabella3">
    <w:name w:val="Table List 3"/>
    <w:basedOn w:val="Tabellanormale"/>
    <w:uiPriority w:val="99"/>
    <w:semiHidden/>
    <w:unhideWhenUsed/>
    <w:rsid w:val="00651D95"/>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cBorders>
      </w:tcPr>
    </w:tblStylePr>
    <w:tblStylePr w:type="lastRow">
      <w:tblPr/>
      <w:tcPr>
        <w:tcBorders>
          <w:top w:val="single" w:sz="12" w:space="0" w:color="000000"/>
        </w:tcBorders>
      </w:tcPr>
    </w:tblStylePr>
    <w:tblStylePr w:type="swCell">
      <w:rPr>
        <w:i/>
        <w:iCs/>
        <w:color w:val="000080"/>
      </w:rPr>
    </w:tblStylePr>
  </w:style>
  <w:style w:type="paragraph" w:styleId="Intestazione">
    <w:name w:val="header"/>
    <w:basedOn w:val="Normale"/>
    <w:link w:val="IntestazioneCarattere"/>
    <w:uiPriority w:val="99"/>
    <w:unhideWhenUsed/>
    <w:rsid w:val="0076788F"/>
    <w:pPr>
      <w:tabs>
        <w:tab w:val="center" w:pos="4819"/>
        <w:tab w:val="right" w:pos="9638"/>
      </w:tabs>
    </w:pPr>
  </w:style>
  <w:style w:type="character" w:customStyle="1" w:styleId="IntestazioneCarattere">
    <w:name w:val="Intestazione Carattere"/>
    <w:basedOn w:val="Carpredefinitoparagrafo"/>
    <w:link w:val="Intestazione"/>
    <w:uiPriority w:val="99"/>
    <w:rsid w:val="0076788F"/>
  </w:style>
  <w:style w:type="paragraph" w:styleId="Pidipagina">
    <w:name w:val="footer"/>
    <w:basedOn w:val="Normale"/>
    <w:link w:val="PidipaginaCarattere"/>
    <w:uiPriority w:val="99"/>
    <w:unhideWhenUsed/>
    <w:rsid w:val="0076788F"/>
    <w:pPr>
      <w:tabs>
        <w:tab w:val="center" w:pos="4819"/>
        <w:tab w:val="right" w:pos="9638"/>
      </w:tabs>
    </w:pPr>
  </w:style>
  <w:style w:type="character" w:customStyle="1" w:styleId="PidipaginaCarattere">
    <w:name w:val="Piè di pagina Carattere"/>
    <w:basedOn w:val="Carpredefinitoparagrafo"/>
    <w:link w:val="Pidipagina"/>
    <w:uiPriority w:val="99"/>
    <w:rsid w:val="0076788F"/>
  </w:style>
  <w:style w:type="paragraph" w:styleId="NormaleWeb">
    <w:name w:val="Normal (Web)"/>
    <w:basedOn w:val="Normale"/>
    <w:uiPriority w:val="99"/>
    <w:unhideWhenUsed/>
    <w:rsid w:val="005E7542"/>
    <w:pPr>
      <w:spacing w:before="100" w:beforeAutospacing="1" w:after="100" w:afterAutospacing="1"/>
    </w:pPr>
    <w:rPr>
      <w:rFonts w:ascii="Times" w:hAnsi="Times" w:cs="Times New Roman"/>
      <w:sz w:val="20"/>
      <w:szCs w:val="20"/>
    </w:rPr>
  </w:style>
  <w:style w:type="character" w:styleId="Enfasicorsivo">
    <w:name w:val="Emphasis"/>
    <w:uiPriority w:val="20"/>
    <w:qFormat/>
    <w:rsid w:val="000071A0"/>
    <w:rPr>
      <w:i/>
      <w:iCs/>
    </w:rPr>
  </w:style>
  <w:style w:type="character" w:styleId="Enfasigrassetto">
    <w:name w:val="Strong"/>
    <w:uiPriority w:val="99"/>
    <w:qFormat/>
    <w:rsid w:val="000071A0"/>
    <w:rPr>
      <w:b/>
      <w:bCs/>
    </w:rPr>
  </w:style>
  <w:style w:type="paragraph" w:styleId="Paragrafoelenco">
    <w:name w:val="List Paragraph"/>
    <w:basedOn w:val="Normale"/>
    <w:uiPriority w:val="34"/>
    <w:qFormat/>
    <w:rsid w:val="002B2252"/>
    <w:pPr>
      <w:spacing w:after="200" w:line="276" w:lineRule="auto"/>
      <w:ind w:left="720"/>
      <w:contextualSpacing/>
    </w:pPr>
    <w:rPr>
      <w:rFonts w:eastAsiaTheme="minorHAnsi"/>
      <w:sz w:val="22"/>
      <w:szCs w:val="22"/>
      <w:lang w:eastAsia="en-US"/>
    </w:rPr>
  </w:style>
  <w:style w:type="character" w:customStyle="1" w:styleId="Titolo1Carattere">
    <w:name w:val="Titolo 1 Carattere"/>
    <w:basedOn w:val="Carpredefinitoparagrafo"/>
    <w:link w:val="Titolo1"/>
    <w:uiPriority w:val="9"/>
    <w:rsid w:val="00BB1BC8"/>
    <w:rPr>
      <w:rFonts w:asciiTheme="majorHAnsi" w:eastAsiaTheme="majorEastAsia" w:hAnsiTheme="majorHAnsi" w:cstheme="majorBidi"/>
      <w:b/>
      <w:bCs/>
      <w:kern w:val="32"/>
      <w:sz w:val="32"/>
      <w:szCs w:val="32"/>
      <w:lang w:val="en-US" w:eastAsia="en-US"/>
    </w:rPr>
  </w:style>
  <w:style w:type="character" w:customStyle="1" w:styleId="Titolo2Carattere">
    <w:name w:val="Titolo 2 Carattere"/>
    <w:basedOn w:val="Carpredefinitoparagrafo"/>
    <w:link w:val="Titolo2"/>
    <w:uiPriority w:val="9"/>
    <w:semiHidden/>
    <w:rsid w:val="00BB1BC8"/>
    <w:rPr>
      <w:rFonts w:asciiTheme="majorHAnsi" w:eastAsiaTheme="majorEastAsia" w:hAnsiTheme="majorHAnsi" w:cstheme="majorBidi"/>
      <w:b/>
      <w:bCs/>
      <w:i/>
      <w:iCs/>
      <w:sz w:val="28"/>
      <w:szCs w:val="28"/>
      <w:lang w:val="en-US" w:eastAsia="en-US"/>
    </w:rPr>
  </w:style>
  <w:style w:type="character" w:customStyle="1" w:styleId="Titolo3Carattere">
    <w:name w:val="Titolo 3 Carattere"/>
    <w:basedOn w:val="Carpredefinitoparagrafo"/>
    <w:link w:val="Titolo3"/>
    <w:uiPriority w:val="9"/>
    <w:semiHidden/>
    <w:rsid w:val="00BB1BC8"/>
    <w:rPr>
      <w:rFonts w:asciiTheme="majorHAnsi" w:eastAsiaTheme="majorEastAsia" w:hAnsiTheme="majorHAnsi" w:cstheme="majorBidi"/>
      <w:b/>
      <w:bCs/>
      <w:sz w:val="26"/>
      <w:szCs w:val="26"/>
      <w:lang w:val="en-US" w:eastAsia="en-US"/>
    </w:rPr>
  </w:style>
  <w:style w:type="character" w:customStyle="1" w:styleId="Titolo4Carattere">
    <w:name w:val="Titolo 4 Carattere"/>
    <w:basedOn w:val="Carpredefinitoparagrafo"/>
    <w:link w:val="Titolo4"/>
    <w:uiPriority w:val="9"/>
    <w:semiHidden/>
    <w:rsid w:val="00BB1BC8"/>
    <w:rPr>
      <w:b/>
      <w:bCs/>
      <w:sz w:val="28"/>
      <w:szCs w:val="28"/>
      <w:lang w:val="en-US" w:eastAsia="en-US"/>
    </w:rPr>
  </w:style>
  <w:style w:type="character" w:customStyle="1" w:styleId="Titolo5Carattere">
    <w:name w:val="Titolo 5 Carattere"/>
    <w:basedOn w:val="Carpredefinitoparagrafo"/>
    <w:link w:val="Titolo5"/>
    <w:uiPriority w:val="9"/>
    <w:semiHidden/>
    <w:rsid w:val="00BB1BC8"/>
    <w:rPr>
      <w:b/>
      <w:bCs/>
      <w:i/>
      <w:iCs/>
      <w:sz w:val="26"/>
      <w:szCs w:val="26"/>
      <w:lang w:val="en-US" w:eastAsia="en-US"/>
    </w:rPr>
  </w:style>
  <w:style w:type="character" w:customStyle="1" w:styleId="Titolo6Carattere">
    <w:name w:val="Titolo 6 Carattere"/>
    <w:basedOn w:val="Carpredefinitoparagrafo"/>
    <w:link w:val="Titolo6"/>
    <w:rsid w:val="00BB1BC8"/>
    <w:rPr>
      <w:rFonts w:ascii="Times New Roman" w:eastAsia="Times New Roman" w:hAnsi="Times New Roman" w:cs="Times New Roman"/>
      <w:b/>
      <w:bCs/>
      <w:sz w:val="22"/>
      <w:szCs w:val="22"/>
      <w:lang w:val="en-US" w:eastAsia="en-US"/>
    </w:rPr>
  </w:style>
  <w:style w:type="character" w:customStyle="1" w:styleId="Titolo7Carattere">
    <w:name w:val="Titolo 7 Carattere"/>
    <w:basedOn w:val="Carpredefinitoparagrafo"/>
    <w:link w:val="Titolo7"/>
    <w:uiPriority w:val="9"/>
    <w:semiHidden/>
    <w:rsid w:val="00BB1BC8"/>
    <w:rPr>
      <w:lang w:val="en-US" w:eastAsia="en-US"/>
    </w:rPr>
  </w:style>
  <w:style w:type="character" w:customStyle="1" w:styleId="Titolo8Carattere">
    <w:name w:val="Titolo 8 Carattere"/>
    <w:basedOn w:val="Carpredefinitoparagrafo"/>
    <w:link w:val="Titolo8"/>
    <w:uiPriority w:val="9"/>
    <w:semiHidden/>
    <w:rsid w:val="00BB1BC8"/>
    <w:rPr>
      <w:i/>
      <w:iCs/>
      <w:lang w:val="en-US" w:eastAsia="en-US"/>
    </w:rPr>
  </w:style>
  <w:style w:type="character" w:customStyle="1" w:styleId="Titolo9Carattere">
    <w:name w:val="Titolo 9 Carattere"/>
    <w:basedOn w:val="Carpredefinitoparagrafo"/>
    <w:link w:val="Titolo9"/>
    <w:uiPriority w:val="9"/>
    <w:semiHidden/>
    <w:rsid w:val="00BB1BC8"/>
    <w:rPr>
      <w:rFonts w:asciiTheme="majorHAnsi" w:eastAsiaTheme="majorEastAsia" w:hAnsiTheme="majorHAnsi" w:cstheme="majorBidi"/>
      <w:sz w:val="22"/>
      <w:szCs w:val="22"/>
      <w:lang w:val="en-US" w:eastAsia="en-US"/>
    </w:rPr>
  </w:style>
  <w:style w:type="character" w:styleId="Collegamentoipertestuale">
    <w:name w:val="Hyperlink"/>
    <w:rsid w:val="00BB1BC8"/>
    <w:rPr>
      <w:color w:val="0000FF"/>
      <w:u w:val="single"/>
    </w:rPr>
  </w:style>
  <w:style w:type="table" w:styleId="Grigliatabella">
    <w:name w:val="Table Grid"/>
    <w:basedOn w:val="Tabellanormale"/>
    <w:uiPriority w:val="59"/>
    <w:unhideWhenUsed/>
    <w:rsid w:val="00BB1BC8"/>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commento">
    <w:name w:val="annotation reference"/>
    <w:uiPriority w:val="99"/>
    <w:semiHidden/>
    <w:unhideWhenUsed/>
    <w:rsid w:val="00BB1BC8"/>
    <w:rPr>
      <w:sz w:val="16"/>
      <w:szCs w:val="16"/>
    </w:rPr>
  </w:style>
  <w:style w:type="paragraph" w:styleId="Testocommento">
    <w:name w:val="annotation text"/>
    <w:basedOn w:val="Normale"/>
    <w:link w:val="TestocommentoCarattere"/>
    <w:uiPriority w:val="99"/>
    <w:semiHidden/>
    <w:unhideWhenUsed/>
    <w:rsid w:val="00BB1BC8"/>
    <w:rPr>
      <w:rFonts w:ascii="Cambria" w:eastAsia="MS Mincho" w:hAnsi="Cambria" w:cs="Times New Roman"/>
      <w:sz w:val="20"/>
      <w:szCs w:val="20"/>
    </w:rPr>
  </w:style>
  <w:style w:type="character" w:customStyle="1" w:styleId="TestocommentoCarattere">
    <w:name w:val="Testo commento Carattere"/>
    <w:basedOn w:val="Carpredefinitoparagrafo"/>
    <w:link w:val="Testocommento"/>
    <w:uiPriority w:val="99"/>
    <w:semiHidden/>
    <w:rsid w:val="00BB1BC8"/>
    <w:rPr>
      <w:rFonts w:ascii="Cambria" w:eastAsia="MS Mincho" w:hAnsi="Cambria" w:cs="Times New Roman"/>
      <w:sz w:val="20"/>
      <w:szCs w:val="20"/>
    </w:rPr>
  </w:style>
  <w:style w:type="paragraph" w:styleId="Testofumetto">
    <w:name w:val="Balloon Text"/>
    <w:basedOn w:val="Normale"/>
    <w:link w:val="TestofumettoCarattere"/>
    <w:uiPriority w:val="99"/>
    <w:semiHidden/>
    <w:unhideWhenUsed/>
    <w:rsid w:val="00BB1BC8"/>
    <w:rPr>
      <w:rFonts w:ascii="Segoe UI" w:eastAsia="Times New Roman" w:hAnsi="Segoe UI" w:cs="Segoe UI"/>
      <w:sz w:val="18"/>
      <w:szCs w:val="18"/>
      <w:lang w:val="en-US" w:eastAsia="en-US"/>
    </w:rPr>
  </w:style>
  <w:style w:type="character" w:customStyle="1" w:styleId="TestofumettoCarattere">
    <w:name w:val="Testo fumetto Carattere"/>
    <w:basedOn w:val="Carpredefinitoparagrafo"/>
    <w:link w:val="Testofumetto"/>
    <w:uiPriority w:val="99"/>
    <w:semiHidden/>
    <w:rsid w:val="00BB1BC8"/>
    <w:rPr>
      <w:rFonts w:ascii="Segoe UI" w:eastAsia="Times New Roman" w:hAnsi="Segoe UI" w:cs="Segoe UI"/>
      <w:sz w:val="18"/>
      <w:szCs w:val="18"/>
      <w:lang w:val="en-US" w:eastAsia="en-US"/>
    </w:rPr>
  </w:style>
  <w:style w:type="paragraph" w:styleId="Soggettocommento">
    <w:name w:val="annotation subject"/>
    <w:basedOn w:val="Testocommento"/>
    <w:next w:val="Testocommento"/>
    <w:link w:val="SoggettocommentoCarattere"/>
    <w:uiPriority w:val="99"/>
    <w:semiHidden/>
    <w:unhideWhenUsed/>
    <w:rsid w:val="00BB1BC8"/>
    <w:rPr>
      <w:rFonts w:ascii="Times New Roman" w:eastAsia="Times New Roman" w:hAnsi="Times New Roman"/>
      <w:b/>
      <w:bCs/>
      <w:lang w:val="en-US" w:eastAsia="en-US"/>
    </w:rPr>
  </w:style>
  <w:style w:type="character" w:customStyle="1" w:styleId="SoggettocommentoCarattere">
    <w:name w:val="Soggetto commento Carattere"/>
    <w:basedOn w:val="TestocommentoCarattere"/>
    <w:link w:val="Soggettocommento"/>
    <w:uiPriority w:val="99"/>
    <w:semiHidden/>
    <w:rsid w:val="00BB1BC8"/>
    <w:rPr>
      <w:rFonts w:ascii="Times New Roman" w:eastAsia="Times New Roman" w:hAnsi="Times New Roman" w:cs="Times New Roman"/>
      <w:b/>
      <w:bCs/>
      <w:sz w:val="20"/>
      <w:szCs w:val="20"/>
      <w:lang w:val="en-US" w:eastAsia="en-US"/>
    </w:rPr>
  </w:style>
  <w:style w:type="table" w:customStyle="1" w:styleId="Grigliatabellachiara1">
    <w:name w:val="Griglia tabella chiara1"/>
    <w:basedOn w:val="Tabellanormale"/>
    <w:uiPriority w:val="40"/>
    <w:rsid w:val="00BB1BC8"/>
    <w:rPr>
      <w:rFonts w:ascii="Times New Roman" w:eastAsia="Times New Roman" w:hAnsi="Times New Roman" w:cs="Times New Roman"/>
      <w:sz w:val="20"/>
      <w:szCs w:val="20"/>
      <w:lang w:val="en-US"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9374608">
      <w:bodyDiv w:val="1"/>
      <w:marLeft w:val="0"/>
      <w:marRight w:val="0"/>
      <w:marTop w:val="0"/>
      <w:marBottom w:val="0"/>
      <w:divBdr>
        <w:top w:val="none" w:sz="0" w:space="0" w:color="auto"/>
        <w:left w:val="none" w:sz="0" w:space="0" w:color="auto"/>
        <w:bottom w:val="none" w:sz="0" w:space="0" w:color="auto"/>
        <w:right w:val="none" w:sz="0" w:space="0" w:color="auto"/>
      </w:divBdr>
    </w:div>
    <w:div w:id="172930067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0B853-0B7B-4808-8B2A-E98769F27D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3045</Words>
  <Characters>17358</Characters>
  <Application>Microsoft Office Word</Application>
  <DocSecurity>0</DocSecurity>
  <Lines>144</Lines>
  <Paragraphs>40</Paragraphs>
  <ScaleCrop>false</ScaleCrop>
  <HeadingPairs>
    <vt:vector size="2" baseType="variant">
      <vt:variant>
        <vt:lpstr>Titolo</vt:lpstr>
      </vt:variant>
      <vt:variant>
        <vt:i4>1</vt:i4>
      </vt:variant>
    </vt:vector>
  </HeadingPairs>
  <TitlesOfParts>
    <vt:vector size="1" baseType="lpstr">
      <vt:lpstr/>
    </vt:vector>
  </TitlesOfParts>
  <Company>Art Massa Studio</Company>
  <LinksUpToDate>false</LinksUpToDate>
  <CharactersWithSpaces>20363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Cinzia</dc:creator>
  <cp:keywords/>
  <dc:description/>
  <cp:lastModifiedBy>Fratantonio Francesco</cp:lastModifiedBy>
  <cp:revision>2</cp:revision>
  <cp:lastPrinted>2018-05-11T06:44:00Z</cp:lastPrinted>
  <dcterms:created xsi:type="dcterms:W3CDTF">2018-05-11T09:22:00Z</dcterms:created>
  <dcterms:modified xsi:type="dcterms:W3CDTF">2018-05-11T09:22:00Z</dcterms:modified>
</cp:coreProperties>
</file>